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0C34" w14:textId="77777777" w:rsidR="000A7F30" w:rsidRDefault="00000000">
      <w:pPr>
        <w:pStyle w:val="Heading1"/>
        <w:spacing w:before="78"/>
        <w:ind w:left="354" w:firstLine="0"/>
        <w:jc w:val="center"/>
      </w:pPr>
      <w:bookmarkStart w:id="0" w:name="Guidelines_for_CTR_Scholar_working_on_th"/>
      <w:bookmarkEnd w:id="0"/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CTR</w:t>
      </w:r>
      <w:r>
        <w:rPr>
          <w:spacing w:val="-3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Masters</w:t>
      </w:r>
    </w:p>
    <w:p w14:paraId="4528EA1A" w14:textId="77777777" w:rsidR="000A7F30" w:rsidRDefault="000A7F30">
      <w:pPr>
        <w:pStyle w:val="BodyText"/>
        <w:spacing w:before="4"/>
        <w:ind w:left="0"/>
        <w:rPr>
          <w:b/>
        </w:rPr>
      </w:pPr>
    </w:p>
    <w:p w14:paraId="4DA9BEA9" w14:textId="77777777" w:rsidR="000A7F30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61"/>
        <w:rPr>
          <w:b/>
          <w:sz w:val="24"/>
          <w:u w:val="none"/>
        </w:rPr>
      </w:pPr>
      <w:r>
        <w:rPr>
          <w:b/>
          <w:sz w:val="24"/>
          <w:u w:val="thick"/>
        </w:rPr>
        <w:t>Comprehensive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Exam</w:t>
      </w:r>
    </w:p>
    <w:p w14:paraId="040443B9" w14:textId="77777777" w:rsidR="000A7F30" w:rsidRDefault="00000000">
      <w:pPr>
        <w:pStyle w:val="BodyText"/>
        <w:ind w:left="720" w:right="82"/>
      </w:pPr>
      <w:r>
        <w:t>A comprehensive examination is an exam that covers a broad base of material. It assesses the student's knowledge and capacities to earn a given graduate degree. The</w:t>
      </w:r>
      <w:r>
        <w:rPr>
          <w:spacing w:val="-2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varies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degree:</w:t>
      </w:r>
      <w:r>
        <w:rPr>
          <w:spacing w:val="-5"/>
        </w:rPr>
        <w:t xml:space="preserve"> </w:t>
      </w:r>
      <w:r>
        <w:t>masters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doctoral comprehensive exams have similarities but </w:t>
      </w:r>
      <w:r>
        <w:rPr>
          <w:b/>
        </w:rPr>
        <w:t xml:space="preserve">differ in detail, depth, and </w:t>
      </w:r>
      <w:r>
        <w:rPr>
          <w:b/>
          <w:spacing w:val="-2"/>
        </w:rPr>
        <w:t>expectations</w:t>
      </w:r>
      <w:r>
        <w:rPr>
          <w:spacing w:val="-2"/>
        </w:rPr>
        <w:t>.</w:t>
      </w:r>
    </w:p>
    <w:p w14:paraId="32A6BA05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73"/>
        <w:ind w:left="1079" w:hanging="362"/>
        <w:rPr>
          <w:i/>
          <w:sz w:val="24"/>
          <w:u w:val="none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Comprehensive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Exam?</w:t>
      </w:r>
    </w:p>
    <w:p w14:paraId="413B12EE" w14:textId="77777777" w:rsidR="000A7F30" w:rsidRDefault="00000000">
      <w:pPr>
        <w:pStyle w:val="BodyText"/>
        <w:spacing w:before="3"/>
        <w:ind w:right="82"/>
      </w:pPr>
      <w:r>
        <w:t>The comprehensive exam is generally given toward the end of coursework or afterward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well one can synthesize the material, solve problems, and think like a professional.</w:t>
      </w:r>
    </w:p>
    <w:p w14:paraId="12520862" w14:textId="77777777" w:rsidR="000A7F30" w:rsidRDefault="00000000">
      <w:pPr>
        <w:pStyle w:val="BodyText"/>
        <w:ind w:right="82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comps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elective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study. Passing a comprehensive exam lets you move to the next level of study.</w:t>
      </w:r>
    </w:p>
    <w:p w14:paraId="70185BDC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74"/>
        <w:ind w:left="1079" w:hanging="362"/>
        <w:rPr>
          <w:i/>
          <w:sz w:val="24"/>
          <w:u w:val="none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Format/Process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Comps?</w:t>
      </w:r>
    </w:p>
    <w:p w14:paraId="7188F2F7" w14:textId="77777777" w:rsidR="000A7F30" w:rsidRDefault="00000000">
      <w:pPr>
        <w:pStyle w:val="BodyText"/>
        <w:spacing w:before="2"/>
        <w:ind w:right="82"/>
      </w:pPr>
      <w:r>
        <w:t>Scholars will write a proposal that is comparable to a R21 NIH grant for the comprehensive exam. Writing a R21 or equivalent grant is an expectation of the MSP program.</w:t>
      </w:r>
      <w:r>
        <w:rPr>
          <w:spacing w:val="40"/>
        </w:rPr>
        <w:t xml:space="preserve"> </w:t>
      </w:r>
      <w:r>
        <w:t>Scholars will meet with their committee to discuss a proposed format (an oral, written, or both oral/written exam) as well as discuss and approve a research proposal topic that is in your area of study and depicts your research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capacities</w:t>
      </w:r>
      <w:r>
        <w:rPr>
          <w:spacing w:val="-6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 xml:space="preserve">is agreed upon, scholars will write and schedule the comprehensive exam in </w:t>
      </w:r>
      <w:proofErr w:type="spellStart"/>
      <w:r>
        <w:t>Seguidor</w:t>
      </w:r>
      <w:proofErr w:type="spellEnd"/>
      <w:r>
        <w:t xml:space="preserve">. Before the scheduled exam, scholars will send their completed proposal to their chair who will then </w:t>
      </w:r>
      <w:proofErr w:type="gramStart"/>
      <w:r>
        <w:t>send</w:t>
      </w:r>
      <w:proofErr w:type="gramEnd"/>
      <w:r>
        <w:t xml:space="preserve"> to the committee for review.</w:t>
      </w:r>
    </w:p>
    <w:p w14:paraId="2DDDEB3D" w14:textId="77777777" w:rsidR="000A7F30" w:rsidRDefault="00000000">
      <w:pPr>
        <w:pStyle w:val="BodyText"/>
        <w:ind w:right="82"/>
      </w:pPr>
      <w:r>
        <w:t>Committees will have two (2) weeks to review and send questions/comments 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 before the scheduled comprehensive exam.</w:t>
      </w:r>
    </w:p>
    <w:p w14:paraId="3596403A" w14:textId="77777777" w:rsidR="000A7F30" w:rsidRDefault="000A7F30">
      <w:pPr>
        <w:pStyle w:val="BodyText"/>
        <w:ind w:left="0"/>
      </w:pPr>
    </w:p>
    <w:p w14:paraId="602ACC55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i/>
          <w:sz w:val="24"/>
          <w:u w:val="none"/>
        </w:rPr>
      </w:pPr>
      <w:r>
        <w:rPr>
          <w:i/>
          <w:sz w:val="24"/>
        </w:rPr>
        <w:t>MSIA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Comprehensive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Exam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Policy</w:t>
      </w:r>
    </w:p>
    <w:p w14:paraId="64EDBBDB" w14:textId="77777777" w:rsidR="000A7F30" w:rsidRDefault="00000000">
      <w:pPr>
        <w:pStyle w:val="BodyText"/>
        <w:ind w:left="1079" w:right="294"/>
      </w:pPr>
      <w:r>
        <w:t>Scholars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MSIA</w:t>
      </w:r>
      <w:r>
        <w:rPr>
          <w:spacing w:val="-2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 xml:space="preserve">guidance. This policy can be viewed here: </w:t>
      </w:r>
      <w:hyperlink r:id="rId5">
        <w:r>
          <w:rPr>
            <w:color w:val="0000FF"/>
            <w:spacing w:val="-2"/>
            <w:u w:val="single" w:color="0000FF"/>
          </w:rPr>
          <w:t>https://www.unmc.edu/gradstudies/_documents/msia-ms-comprehensive-</w:t>
        </w:r>
      </w:hyperlink>
      <w:hyperlink r:id="rId6">
        <w:r>
          <w:rPr>
            <w:color w:val="0000FF"/>
            <w:spacing w:val="-2"/>
            <w:u w:val="single" w:color="0000FF"/>
          </w:rPr>
          <w:t>guidelines.pdf</w:t>
        </w:r>
      </w:hyperlink>
    </w:p>
    <w:p w14:paraId="0F4CBEBE" w14:textId="77777777" w:rsidR="000A7F30" w:rsidRDefault="000A7F30">
      <w:pPr>
        <w:pStyle w:val="BodyText"/>
        <w:spacing w:before="269"/>
        <w:ind w:left="0"/>
      </w:pPr>
    </w:p>
    <w:p w14:paraId="0E3E2E02" w14:textId="77777777" w:rsidR="000A7F30" w:rsidRDefault="00000000">
      <w:pPr>
        <w:pStyle w:val="Heading1"/>
        <w:numPr>
          <w:ilvl w:val="0"/>
          <w:numId w:val="1"/>
        </w:numPr>
        <w:tabs>
          <w:tab w:val="left" w:pos="718"/>
        </w:tabs>
        <w:ind w:left="718" w:hanging="361"/>
        <w:jc w:val="both"/>
      </w:pPr>
      <w:bookmarkStart w:id="1" w:name="2)__Master’s_Thesis"/>
      <w:bookmarkEnd w:id="1"/>
      <w:r>
        <w:rPr>
          <w:u w:val="thick"/>
        </w:rPr>
        <w:t>Master’s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Thesis</w:t>
      </w:r>
    </w:p>
    <w:p w14:paraId="0277B1EF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62"/>
        <w:jc w:val="both"/>
        <w:rPr>
          <w:i/>
          <w:sz w:val="24"/>
          <w:u w:val="none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Master's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Thesis?</w:t>
      </w:r>
    </w:p>
    <w:p w14:paraId="44F1E1EF" w14:textId="77777777" w:rsidR="000A7F30" w:rsidRDefault="00000000">
      <w:pPr>
        <w:pStyle w:val="BodyText"/>
        <w:spacing w:before="7"/>
        <w:ind w:right="804"/>
        <w:jc w:val="both"/>
      </w:pPr>
      <w:r>
        <w:t>The</w:t>
      </w:r>
      <w:r>
        <w:rPr>
          <w:spacing w:val="-3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program and should be of the quality to submit to a journal</w:t>
      </w:r>
      <w:r>
        <w:rPr>
          <w:spacing w:val="-1"/>
        </w:rPr>
        <w:t xml:space="preserve"> </w:t>
      </w:r>
      <w:r>
        <w:t>and should be submitted prior to graduation.</w:t>
      </w:r>
    </w:p>
    <w:p w14:paraId="0E756BF1" w14:textId="77777777" w:rsidR="000A7F30" w:rsidRDefault="000A7F30">
      <w:pPr>
        <w:pStyle w:val="BodyText"/>
        <w:spacing w:before="20"/>
        <w:ind w:left="0"/>
      </w:pPr>
    </w:p>
    <w:p w14:paraId="49BAA610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62"/>
        <w:rPr>
          <w:i/>
          <w:sz w:val="24"/>
          <w:u w:val="none"/>
        </w:rPr>
      </w:pPr>
      <w:r>
        <w:rPr>
          <w:i/>
          <w:sz w:val="24"/>
        </w:rPr>
        <w:t>Approval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Master’s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Thesis</w:t>
      </w:r>
    </w:p>
    <w:p w14:paraId="18817F6B" w14:textId="77777777" w:rsidR="000A7F30" w:rsidRDefault="00000000">
      <w:pPr>
        <w:pStyle w:val="BodyText"/>
        <w:spacing w:before="26" w:line="259" w:lineRule="auto"/>
        <w:ind w:right="82"/>
      </w:pPr>
      <w:r>
        <w:t>The subject of the thesis must be approved by the advisory committee. The thesis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a capacity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on independent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research 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scholar’s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in the field of investigation.</w:t>
      </w:r>
    </w:p>
    <w:p w14:paraId="3B01E9EA" w14:textId="77777777" w:rsidR="000A7F30" w:rsidRDefault="000A7F30">
      <w:pPr>
        <w:pStyle w:val="BodyText"/>
        <w:spacing w:before="17"/>
        <w:ind w:left="0"/>
      </w:pPr>
    </w:p>
    <w:p w14:paraId="537778C5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62"/>
        <w:rPr>
          <w:i/>
          <w:sz w:val="24"/>
          <w:u w:val="none"/>
        </w:rPr>
      </w:pPr>
      <w:r>
        <w:rPr>
          <w:i/>
          <w:spacing w:val="-2"/>
          <w:sz w:val="24"/>
        </w:rPr>
        <w:t>Timeline</w:t>
      </w:r>
    </w:p>
    <w:p w14:paraId="2960F157" w14:textId="77777777" w:rsidR="000A7F30" w:rsidRDefault="000A7F30">
      <w:pPr>
        <w:pStyle w:val="ListParagraph"/>
        <w:rPr>
          <w:i/>
          <w:sz w:val="24"/>
        </w:rPr>
        <w:sectPr w:rsidR="000A7F30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07174CEF" w14:textId="77777777" w:rsidR="000A7F30" w:rsidRDefault="00000000">
      <w:pPr>
        <w:pStyle w:val="BodyText"/>
        <w:spacing w:before="81" w:line="259" w:lineRule="auto"/>
        <w:ind w:right="222"/>
      </w:pPr>
      <w:r>
        <w:lastRenderedPageBreak/>
        <w:t xml:space="preserve">The </w:t>
      </w:r>
      <w:proofErr w:type="gramStart"/>
      <w:r>
        <w:t>Master’s</w:t>
      </w:r>
      <w:proofErr w:type="gramEnd"/>
      <w:r>
        <w:t xml:space="preserve"> Thesis must be presented in final form to the student’s Advisor at least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defense</w:t>
      </w:r>
      <w:r>
        <w:rPr>
          <w:spacing w:val="-2"/>
        </w:rPr>
        <w:t xml:space="preserve"> </w:t>
      </w:r>
      <w:r>
        <w:t>(Final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 xml:space="preserve">weeks before Commencement. Any necessary revisions to the thesis must be completed, and the final document approved by the student’s Advisor, before distribution to the student’s Advisory Committee (at least 2 weeks before the Final Oral Exam). The Final Oral Exam must take place at least 2 weeks prior to Commencement. When the Final Oral Exam has been completed successfully, the final version of the </w:t>
      </w:r>
      <w:proofErr w:type="gramStart"/>
      <w:r>
        <w:t>Master’s</w:t>
      </w:r>
      <w:proofErr w:type="gramEnd"/>
      <w:r>
        <w:t xml:space="preserve"> Thesis must be submitted electronically to the </w:t>
      </w:r>
      <w:proofErr w:type="spellStart"/>
      <w:r>
        <w:t>DigitalCommons@UNMC</w:t>
      </w:r>
      <w:proofErr w:type="spellEnd"/>
      <w:r>
        <w:t xml:space="preserve"> no later than 1 week prior to </w:t>
      </w:r>
      <w:r>
        <w:rPr>
          <w:spacing w:val="-2"/>
        </w:rPr>
        <w:t>Commencement.</w:t>
      </w:r>
    </w:p>
    <w:p w14:paraId="23EF1463" w14:textId="77777777" w:rsidR="000A7F30" w:rsidRDefault="000A7F30">
      <w:pPr>
        <w:pStyle w:val="BodyText"/>
        <w:spacing w:before="19"/>
        <w:ind w:left="0"/>
      </w:pPr>
    </w:p>
    <w:p w14:paraId="25EDF036" w14:textId="77777777" w:rsidR="000A7F30" w:rsidRDefault="00000000">
      <w:pPr>
        <w:pStyle w:val="BodyText"/>
        <w:spacing w:line="259" w:lineRule="auto"/>
        <w:ind w:right="1538"/>
      </w:pPr>
      <w:r>
        <w:t xml:space="preserve">MS timeline for requirements and dates for submission. </w:t>
      </w:r>
      <w:hyperlink r:id="rId7">
        <w:r>
          <w:rPr>
            <w:color w:val="0000FF"/>
            <w:spacing w:val="-2"/>
            <w:u w:val="single" w:color="0000FF"/>
          </w:rPr>
          <w:t>https://www.unmc.edu/gradstudies/programs/masters-timeline.html</w:t>
        </w:r>
      </w:hyperlink>
    </w:p>
    <w:p w14:paraId="3424FDB7" w14:textId="77777777" w:rsidR="000A7F30" w:rsidRDefault="000A7F30">
      <w:pPr>
        <w:pStyle w:val="BodyText"/>
        <w:spacing w:before="100"/>
        <w:ind w:left="0"/>
      </w:pPr>
    </w:p>
    <w:p w14:paraId="0A2634DE" w14:textId="77777777" w:rsidR="000A7F30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  <w:u w:val="none"/>
        </w:rPr>
      </w:pP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C6E4E3" w14:textId="77777777" w:rsidR="000A7F30" w:rsidRDefault="00000000">
      <w:pPr>
        <w:pStyle w:val="BodyText"/>
        <w:spacing w:before="101" w:line="259" w:lineRule="auto"/>
        <w:ind w:left="979" w:right="149"/>
      </w:pPr>
      <w:r>
        <w:t>The supervisory committee will have final approval of the format of the final oral exam.</w:t>
      </w:r>
      <w:r>
        <w:rPr>
          <w:spacing w:val="80"/>
        </w:rPr>
        <w:t xml:space="preserve"> </w:t>
      </w:r>
      <w:r>
        <w:t>In general, scholars will have a 30-45 minute period to present their study.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PowerPoint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present for the presentation, they can ask their questions of the candidate and then will be asked to leave.</w:t>
      </w:r>
      <w:r>
        <w:rPr>
          <w:spacing w:val="40"/>
        </w:rPr>
        <w:t xml:space="preserve"> </w:t>
      </w:r>
      <w:r>
        <w:t>The committee will then proceed with the final oral exam with the scholar.</w:t>
      </w:r>
    </w:p>
    <w:sectPr w:rsidR="000A7F30">
      <w:pgSz w:w="12240" w:h="15840"/>
      <w:pgMar w:top="12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7ED9"/>
    <w:multiLevelType w:val="hybridMultilevel"/>
    <w:tmpl w:val="ABFEB628"/>
    <w:lvl w:ilvl="0" w:tplc="C6647DCE">
      <w:start w:val="1"/>
      <w:numFmt w:val="decimal"/>
      <w:lvlText w:val="%1)"/>
      <w:lvlJc w:val="left"/>
      <w:pPr>
        <w:ind w:left="720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F9C3770">
      <w:start w:val="1"/>
      <w:numFmt w:val="lowerLetter"/>
      <w:lvlText w:val="%2)"/>
      <w:lvlJc w:val="left"/>
      <w:pPr>
        <w:ind w:left="1080" w:hanging="363"/>
        <w:jc w:val="left"/>
      </w:pPr>
      <w:rPr>
        <w:rFonts w:hint="default"/>
        <w:spacing w:val="0"/>
        <w:w w:val="98"/>
        <w:lang w:val="en-US" w:eastAsia="en-US" w:bidi="ar-SA"/>
      </w:rPr>
    </w:lvl>
    <w:lvl w:ilvl="2" w:tplc="43E29D0C"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 w:tplc="6D6C3C66">
      <w:numFmt w:val="bullet"/>
      <w:lvlText w:val="•"/>
      <w:lvlJc w:val="left"/>
      <w:pPr>
        <w:ind w:left="3000" w:hanging="363"/>
      </w:pPr>
      <w:rPr>
        <w:rFonts w:hint="default"/>
        <w:lang w:val="en-US" w:eastAsia="en-US" w:bidi="ar-SA"/>
      </w:rPr>
    </w:lvl>
    <w:lvl w:ilvl="4" w:tplc="8B524110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 w:tplc="911C7136"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6" w:tplc="B3963266">
      <w:numFmt w:val="bullet"/>
      <w:lvlText w:val="•"/>
      <w:lvlJc w:val="left"/>
      <w:pPr>
        <w:ind w:left="5880" w:hanging="363"/>
      </w:pPr>
      <w:rPr>
        <w:rFonts w:hint="default"/>
        <w:lang w:val="en-US" w:eastAsia="en-US" w:bidi="ar-SA"/>
      </w:rPr>
    </w:lvl>
    <w:lvl w:ilvl="7" w:tplc="E4E01626">
      <w:numFmt w:val="bullet"/>
      <w:lvlText w:val="•"/>
      <w:lvlJc w:val="left"/>
      <w:pPr>
        <w:ind w:left="6840" w:hanging="363"/>
      </w:pPr>
      <w:rPr>
        <w:rFonts w:hint="default"/>
        <w:lang w:val="en-US" w:eastAsia="en-US" w:bidi="ar-SA"/>
      </w:rPr>
    </w:lvl>
    <w:lvl w:ilvl="8" w:tplc="F6C80BBA">
      <w:numFmt w:val="bullet"/>
      <w:lvlText w:val="•"/>
      <w:lvlJc w:val="left"/>
      <w:pPr>
        <w:ind w:left="7800" w:hanging="363"/>
      </w:pPr>
      <w:rPr>
        <w:rFonts w:hint="default"/>
        <w:lang w:val="en-US" w:eastAsia="en-US" w:bidi="ar-SA"/>
      </w:rPr>
    </w:lvl>
  </w:abstractNum>
  <w:num w:numId="1" w16cid:durableId="80420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fSBNGwl+P0BLEs0irITS4gxxdrLNAFURyOPf0L9BDsO3cS1Zoth0u1cwRTofrDqQniF18wvs9j1ijmUS/AncA==" w:salt="0AvPANtvD7bTudMjHCvkD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F30"/>
    <w:rsid w:val="000A7F30"/>
    <w:rsid w:val="00301E85"/>
    <w:rsid w:val="00C8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7BCE3"/>
  <w15:docId w15:val="{E032A17D-0EE4-4027-BFAD-B47B9E43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mc.edu/gradstudies/programs/masters-timeli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mc.edu/gradstudies/_documents/msia-ms-comprehensive-guidelines.pdf" TargetMode="External"/><Relationship Id="rId5" Type="http://schemas.openxmlformats.org/officeDocument/2006/relationships/hyperlink" Target="https://www.unmc.edu/gradstudies/_documents/msia-ms-comprehensive-guidelin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3367</Characters>
  <Application>Microsoft Office Word</Application>
  <DocSecurity>8</DocSecurity>
  <Lines>74</Lines>
  <Paragraphs>26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Zimmerman, Lani</dc:creator>
  <cp:lastModifiedBy>Cowgill, Molly M</cp:lastModifiedBy>
  <cp:revision>3</cp:revision>
  <dcterms:created xsi:type="dcterms:W3CDTF">2026-03-19T17:14:00Z</dcterms:created>
  <dcterms:modified xsi:type="dcterms:W3CDTF">2026-03-19T17:17:00Z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0x0101000012A71D5B9EB446BDE99D4A7752F6C4</vt:lpwstr>
  </property>
  <property fmtid="{D5CDD505-2E9C-101B-9397-08002B2CF9AE}" pid="3" name="Created">
    <vt:filetime>2023-03-22T00:00:00Z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23.1.96</vt:lpwstr>
  </property>
  <property fmtid="{D5CDD505-2E9C-101B-9397-08002B2CF9AE}" pid="7" name="SourceModified">
    <vt:lpwstr/>
  </property>
</Properties>
</file>