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80980" w14:textId="112E4037" w:rsidR="00936021" w:rsidRPr="002C7626" w:rsidRDefault="000945BF" w:rsidP="00936021">
      <w:pPr>
        <w:outlineLvl w:val="0"/>
        <w:rPr>
          <w:rFonts w:ascii="Arial" w:hAnsi="Arial"/>
          <w:b/>
          <w:color w:val="AD122A" w:themeColor="accent1"/>
          <w:sz w:val="48"/>
          <w:szCs w:val="48"/>
        </w:rPr>
      </w:pPr>
      <w:r>
        <w:rPr>
          <w:rFonts w:ascii="Arial" w:hAnsi="Arial"/>
          <w:b/>
          <w:color w:val="AD122A" w:themeColor="accent1"/>
          <w:sz w:val="48"/>
          <w:szCs w:val="48"/>
        </w:rPr>
        <w:t xml:space="preserve">CON </w:t>
      </w:r>
      <w:r w:rsidR="00E45183">
        <w:rPr>
          <w:rFonts w:ascii="Arial" w:hAnsi="Arial"/>
          <w:b/>
          <w:color w:val="AD122A" w:themeColor="accent1"/>
          <w:sz w:val="48"/>
          <w:szCs w:val="48"/>
        </w:rPr>
        <w:t>Undergraduate Policy</w:t>
      </w:r>
      <w:r w:rsidR="00936021">
        <w:rPr>
          <w:rFonts w:ascii="Arial" w:hAnsi="Arial"/>
          <w:b/>
          <w:color w:val="AD122A" w:themeColor="accent1"/>
          <w:sz w:val="48"/>
          <w:szCs w:val="48"/>
        </w:rPr>
        <w:t xml:space="preserve"> Addendum</w:t>
      </w:r>
    </w:p>
    <w:p w14:paraId="63C4EE38" w14:textId="77777777" w:rsidR="004E2D99" w:rsidRPr="00F95185" w:rsidRDefault="004E2D99" w:rsidP="00936021">
      <w:pPr>
        <w:autoSpaceDE w:val="0"/>
        <w:autoSpaceDN w:val="0"/>
        <w:adjustRightInd w:val="0"/>
        <w:rPr>
          <w:rFonts w:ascii="Arial" w:hAnsi="Arial"/>
          <w:b/>
          <w:color w:val="000000"/>
          <w:sz w:val="16"/>
          <w:szCs w:val="16"/>
        </w:rPr>
      </w:pPr>
    </w:p>
    <w:p w14:paraId="3F711E7D" w14:textId="1B4C938B" w:rsidR="00936021" w:rsidRDefault="00936021" w:rsidP="00936021">
      <w:pPr>
        <w:autoSpaceDE w:val="0"/>
        <w:autoSpaceDN w:val="0"/>
        <w:adjustRightInd w:val="0"/>
        <w:rPr>
          <w:rFonts w:ascii="Arial" w:hAnsi="Arial"/>
          <w:b/>
          <w:color w:val="000000"/>
          <w:sz w:val="28"/>
          <w:szCs w:val="28"/>
        </w:rPr>
      </w:pPr>
      <w:r w:rsidRPr="00936021">
        <w:rPr>
          <w:rFonts w:ascii="Arial" w:hAnsi="Arial"/>
          <w:b/>
          <w:color w:val="000000"/>
          <w:sz w:val="28"/>
          <w:szCs w:val="28"/>
        </w:rPr>
        <w:t>Undergraduate Students</w:t>
      </w:r>
    </w:p>
    <w:p w14:paraId="329322F7" w14:textId="51B12EA7" w:rsidR="00936021" w:rsidRPr="00F95185" w:rsidRDefault="00936021" w:rsidP="00936021">
      <w:pPr>
        <w:autoSpaceDE w:val="0"/>
        <w:autoSpaceDN w:val="0"/>
        <w:adjustRightInd w:val="0"/>
        <w:rPr>
          <w:rFonts w:ascii="Arial" w:hAnsi="Arial"/>
          <w:b/>
          <w:color w:val="000000"/>
          <w:sz w:val="16"/>
          <w:szCs w:val="16"/>
        </w:rPr>
      </w:pPr>
    </w:p>
    <w:p w14:paraId="417465A5" w14:textId="77777777" w:rsidR="00936021" w:rsidRPr="00A90546" w:rsidRDefault="00936021" w:rsidP="00936021">
      <w:pPr>
        <w:rPr>
          <w:rFonts w:asciiTheme="minorHAnsi" w:hAnsiTheme="minorHAnsi" w:cstheme="minorHAnsi"/>
          <w:b/>
          <w:bCs/>
          <w:sz w:val="22"/>
          <w:szCs w:val="22"/>
        </w:rPr>
      </w:pPr>
      <w:r w:rsidRPr="00A90546">
        <w:rPr>
          <w:rFonts w:asciiTheme="minorHAnsi" w:hAnsiTheme="minorHAnsi" w:cstheme="minorHAnsi"/>
          <w:b/>
          <w:bCs/>
          <w:sz w:val="22"/>
          <w:szCs w:val="22"/>
        </w:rPr>
        <w:t xml:space="preserve">Student Responsibilities </w:t>
      </w:r>
    </w:p>
    <w:p w14:paraId="296C3CD7" w14:textId="77777777" w:rsidR="00936021" w:rsidRDefault="00936021" w:rsidP="00936021">
      <w:pPr>
        <w:rPr>
          <w:rFonts w:asciiTheme="minorHAnsi" w:hAnsiTheme="minorHAnsi" w:cstheme="minorHAnsi"/>
          <w:sz w:val="22"/>
        </w:rPr>
      </w:pPr>
      <w:r w:rsidRPr="00A90546">
        <w:rPr>
          <w:rFonts w:asciiTheme="minorHAnsi" w:hAnsiTheme="minorHAnsi" w:cstheme="minorHAnsi"/>
          <w:sz w:val="22"/>
          <w:szCs w:val="22"/>
        </w:rPr>
        <w:t>Students are responsible for understanding and following all policies of the College of Nursing and University of Nebraska Medical Center.</w:t>
      </w:r>
    </w:p>
    <w:p w14:paraId="3866CC0A" w14:textId="77777777" w:rsidR="00936021" w:rsidRPr="00F95185" w:rsidRDefault="00936021" w:rsidP="00936021">
      <w:pPr>
        <w:rPr>
          <w:rFonts w:asciiTheme="minorHAnsi" w:hAnsiTheme="minorHAnsi" w:cstheme="minorHAnsi"/>
          <w:sz w:val="16"/>
          <w:szCs w:val="16"/>
        </w:rPr>
      </w:pPr>
    </w:p>
    <w:p w14:paraId="6513ACC5" w14:textId="63BE2D37" w:rsidR="002A0D6B" w:rsidRDefault="002A0D6B" w:rsidP="002A0D6B">
      <w:pPr>
        <w:rPr>
          <w:rFonts w:asciiTheme="minorHAnsi" w:hAnsiTheme="minorHAnsi" w:cstheme="minorHAnsi"/>
          <w:sz w:val="22"/>
        </w:rPr>
      </w:pPr>
      <w:r w:rsidRPr="004E2D99">
        <w:rPr>
          <w:rFonts w:asciiTheme="minorHAnsi" w:hAnsiTheme="minorHAnsi" w:cstheme="minorHAnsi"/>
          <w:b/>
          <w:bCs/>
          <w:sz w:val="22"/>
          <w:szCs w:val="22"/>
        </w:rPr>
        <w:t>UNMC</w:t>
      </w:r>
      <w:r w:rsidRPr="00A90546">
        <w:rPr>
          <w:rFonts w:asciiTheme="minorHAnsi" w:hAnsiTheme="minorHAnsi" w:cstheme="minorHAnsi"/>
          <w:sz w:val="22"/>
          <w:szCs w:val="22"/>
        </w:rPr>
        <w:t xml:space="preserve"> Student Policies and Procedures are found </w:t>
      </w:r>
      <w:r>
        <w:rPr>
          <w:rFonts w:asciiTheme="minorHAnsi" w:hAnsiTheme="minorHAnsi" w:cstheme="minorHAnsi"/>
          <w:sz w:val="22"/>
        </w:rPr>
        <w:t xml:space="preserve">at </w:t>
      </w:r>
      <w:hyperlink r:id="rId11" w:history="1">
        <w:r w:rsidRPr="00D4243B">
          <w:rPr>
            <w:rStyle w:val="Hyperlink"/>
            <w:rFonts w:asciiTheme="minorHAnsi" w:hAnsiTheme="minorHAnsi" w:cstheme="minorHAnsi"/>
            <w:sz w:val="22"/>
            <w:szCs w:val="22"/>
          </w:rPr>
          <w:t>UNMC Student Handbook/Catalog</w:t>
        </w:r>
        <w:r w:rsidRPr="00B1012B">
          <w:rPr>
            <w:rStyle w:val="Hyperlink"/>
            <w:rFonts w:asciiTheme="minorHAnsi" w:hAnsiTheme="minorHAnsi" w:cstheme="minorHAnsi"/>
            <w:sz w:val="22"/>
            <w:szCs w:val="22"/>
          </w:rPr>
          <w:t>/General Information</w:t>
        </w:r>
      </w:hyperlink>
      <w:r w:rsidRPr="00A90546">
        <w:rPr>
          <w:rFonts w:asciiTheme="minorHAnsi" w:hAnsiTheme="minorHAnsi" w:cstheme="minorHAnsi"/>
          <w:sz w:val="22"/>
          <w:szCs w:val="22"/>
        </w:rPr>
        <w:t xml:space="preserve">.  </w:t>
      </w:r>
    </w:p>
    <w:p w14:paraId="3ED7F5EE" w14:textId="77777777" w:rsidR="002A0D6B" w:rsidRPr="00F95185" w:rsidRDefault="002A0D6B" w:rsidP="002A0D6B">
      <w:pPr>
        <w:rPr>
          <w:rFonts w:asciiTheme="minorHAnsi" w:hAnsiTheme="minorHAnsi" w:cstheme="minorHAnsi"/>
          <w:sz w:val="16"/>
          <w:szCs w:val="16"/>
        </w:rPr>
      </w:pPr>
    </w:p>
    <w:p w14:paraId="7E0288AB" w14:textId="77777777" w:rsidR="002A0D6B" w:rsidRDefault="002A0D6B" w:rsidP="002A0D6B">
      <w:pPr>
        <w:rPr>
          <w:rFonts w:asciiTheme="minorHAnsi" w:hAnsiTheme="minorHAnsi" w:cstheme="minorHAnsi"/>
          <w:sz w:val="22"/>
        </w:rPr>
      </w:pPr>
      <w:r w:rsidRPr="00A90546">
        <w:rPr>
          <w:rFonts w:asciiTheme="minorHAnsi" w:hAnsiTheme="minorHAnsi" w:cstheme="minorHAnsi"/>
          <w:sz w:val="22"/>
          <w:szCs w:val="22"/>
        </w:rPr>
        <w:t>Applicable sections include but are not limited to:</w:t>
      </w:r>
    </w:p>
    <w:p w14:paraId="424206D3" w14:textId="77777777" w:rsidR="002A0D6B" w:rsidRPr="0004227F" w:rsidRDefault="002A0D6B" w:rsidP="002A0D6B">
      <w:pPr>
        <w:rPr>
          <w:rFonts w:asciiTheme="minorHAnsi" w:hAnsiTheme="minorHAnsi" w:cstheme="minorHAnsi"/>
          <w:sz w:val="22"/>
        </w:rPr>
      </w:pPr>
      <w:r w:rsidRPr="0004227F">
        <w:rPr>
          <w:rFonts w:asciiTheme="minorHAnsi" w:hAnsiTheme="minorHAnsi" w:cstheme="minorHAnsi"/>
          <w:sz w:val="22"/>
        </w:rPr>
        <w:t>Academic and Professional Performance</w:t>
      </w:r>
    </w:p>
    <w:p w14:paraId="7A0CAC7B" w14:textId="77777777" w:rsidR="002A0D6B" w:rsidRPr="0004227F" w:rsidRDefault="002A0D6B" w:rsidP="002A0D6B">
      <w:pPr>
        <w:rPr>
          <w:rFonts w:asciiTheme="minorHAnsi" w:hAnsiTheme="minorHAnsi" w:cstheme="minorHAnsi"/>
          <w:sz w:val="22"/>
        </w:rPr>
      </w:pPr>
      <w:r w:rsidRPr="0004227F">
        <w:rPr>
          <w:rFonts w:asciiTheme="minorHAnsi" w:hAnsiTheme="minorHAnsi" w:cstheme="minorHAnsi"/>
          <w:sz w:val="22"/>
        </w:rPr>
        <w:t>Compliance</w:t>
      </w:r>
    </w:p>
    <w:p w14:paraId="5341F719" w14:textId="77777777" w:rsidR="002A0D6B" w:rsidRPr="0004227F" w:rsidRDefault="002A0D6B" w:rsidP="002A0D6B">
      <w:pPr>
        <w:rPr>
          <w:rFonts w:asciiTheme="minorHAnsi" w:hAnsiTheme="minorHAnsi" w:cstheme="minorHAnsi"/>
          <w:sz w:val="22"/>
        </w:rPr>
      </w:pPr>
      <w:r w:rsidRPr="0004227F">
        <w:rPr>
          <w:rFonts w:asciiTheme="minorHAnsi" w:hAnsiTheme="minorHAnsi" w:cstheme="minorHAnsi"/>
          <w:sz w:val="22"/>
        </w:rPr>
        <w:t>Financial Aid/Tuition/Fees</w:t>
      </w:r>
    </w:p>
    <w:p w14:paraId="24B16335" w14:textId="77777777" w:rsidR="002A0D6B" w:rsidRPr="0004227F" w:rsidRDefault="002A0D6B" w:rsidP="002A0D6B">
      <w:pPr>
        <w:rPr>
          <w:rFonts w:asciiTheme="minorHAnsi" w:hAnsiTheme="minorHAnsi" w:cstheme="minorHAnsi"/>
          <w:sz w:val="22"/>
        </w:rPr>
      </w:pPr>
      <w:r w:rsidRPr="0004227F">
        <w:rPr>
          <w:rFonts w:asciiTheme="minorHAnsi" w:hAnsiTheme="minorHAnsi" w:cstheme="minorHAnsi"/>
          <w:sz w:val="22"/>
        </w:rPr>
        <w:t>Registration/Records/Enrollment</w:t>
      </w:r>
    </w:p>
    <w:p w14:paraId="4437BC06" w14:textId="77777777" w:rsidR="002A0D6B" w:rsidRPr="0004227F" w:rsidRDefault="002A0D6B" w:rsidP="002A0D6B">
      <w:pPr>
        <w:rPr>
          <w:rFonts w:asciiTheme="minorHAnsi" w:hAnsiTheme="minorHAnsi" w:cstheme="minorHAnsi"/>
          <w:sz w:val="22"/>
        </w:rPr>
      </w:pPr>
      <w:r w:rsidRPr="0004227F">
        <w:rPr>
          <w:rFonts w:asciiTheme="minorHAnsi" w:hAnsiTheme="minorHAnsi" w:cstheme="minorHAnsi"/>
          <w:sz w:val="22"/>
        </w:rPr>
        <w:t>Safety/Security</w:t>
      </w:r>
    </w:p>
    <w:p w14:paraId="29350EDE" w14:textId="77777777" w:rsidR="002A0D6B" w:rsidRPr="00F95185" w:rsidRDefault="002A0D6B" w:rsidP="002A0D6B">
      <w:pPr>
        <w:rPr>
          <w:rFonts w:asciiTheme="minorHAnsi" w:hAnsiTheme="minorHAnsi" w:cstheme="minorHAnsi"/>
          <w:sz w:val="16"/>
          <w:szCs w:val="16"/>
        </w:rPr>
      </w:pPr>
    </w:p>
    <w:p w14:paraId="73882892" w14:textId="77777777" w:rsidR="002A0D6B" w:rsidRDefault="002A0D6B" w:rsidP="002A0D6B">
      <w:pPr>
        <w:rPr>
          <w:rFonts w:asciiTheme="minorHAnsi" w:hAnsiTheme="minorHAnsi" w:cstheme="minorHAnsi"/>
          <w:sz w:val="22"/>
        </w:rPr>
      </w:pPr>
      <w:r w:rsidRPr="004E2D99">
        <w:rPr>
          <w:rFonts w:asciiTheme="minorHAnsi" w:hAnsiTheme="minorHAnsi" w:cstheme="minorHAnsi"/>
          <w:b/>
          <w:bCs/>
          <w:sz w:val="22"/>
        </w:rPr>
        <w:t>College of Nursing</w:t>
      </w:r>
      <w:r w:rsidRPr="00B94552">
        <w:rPr>
          <w:rFonts w:asciiTheme="minorHAnsi" w:hAnsiTheme="minorHAnsi" w:cstheme="minorHAnsi"/>
          <w:sz w:val="22"/>
        </w:rPr>
        <w:t xml:space="preserve"> Policies and Procedures are </w:t>
      </w:r>
      <w:r>
        <w:rPr>
          <w:rFonts w:asciiTheme="minorHAnsi" w:hAnsiTheme="minorHAnsi" w:cstheme="minorHAnsi"/>
          <w:sz w:val="22"/>
        </w:rPr>
        <w:t xml:space="preserve">found at </w:t>
      </w:r>
      <w:hyperlink r:id="rId12" w:history="1">
        <w:r w:rsidRPr="00E45183">
          <w:rPr>
            <w:rStyle w:val="Hyperlink"/>
            <w:rFonts w:asciiTheme="minorHAnsi" w:hAnsiTheme="minorHAnsi" w:cstheme="minorHAnsi"/>
            <w:sz w:val="22"/>
            <w:szCs w:val="22"/>
            <w:u w:val="none"/>
          </w:rPr>
          <w:t>UNMC Student Handbook/Catalog/College of Nursing/Student Policies</w:t>
        </w:r>
      </w:hyperlink>
      <w:r w:rsidRPr="005D24BE">
        <w:rPr>
          <w:rFonts w:asciiTheme="minorHAnsi" w:hAnsiTheme="minorHAnsi" w:cstheme="minorHAnsi"/>
          <w:sz w:val="22"/>
        </w:rPr>
        <w:t>.</w:t>
      </w:r>
      <w:r>
        <w:rPr>
          <w:rFonts w:asciiTheme="minorHAnsi" w:hAnsiTheme="minorHAnsi" w:cstheme="minorHAnsi"/>
          <w:sz w:val="22"/>
        </w:rPr>
        <w:t xml:space="preserve"> </w:t>
      </w:r>
    </w:p>
    <w:p w14:paraId="2FD28F87" w14:textId="77777777" w:rsidR="00936021" w:rsidRPr="00F95185" w:rsidRDefault="00936021" w:rsidP="00936021">
      <w:pPr>
        <w:rPr>
          <w:rFonts w:asciiTheme="minorHAnsi" w:hAnsiTheme="minorHAnsi" w:cstheme="minorHAnsi"/>
          <w:sz w:val="16"/>
          <w:szCs w:val="16"/>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6370"/>
      </w:tblGrid>
      <w:tr w:rsidR="00D301D2" w:rsidRPr="00C67B62" w14:paraId="5A083F08" w14:textId="77777777" w:rsidTr="00E71088">
        <w:trPr>
          <w:trHeight w:val="20"/>
          <w:jc w:val="center"/>
        </w:trPr>
        <w:tc>
          <w:tcPr>
            <w:tcW w:w="4405" w:type="dxa"/>
            <w:shd w:val="clear" w:color="auto" w:fill="E0EA9E" w:themeFill="accent4" w:themeFillTint="66"/>
            <w:noWrap/>
            <w:vAlign w:val="center"/>
          </w:tcPr>
          <w:p w14:paraId="0682D007" w14:textId="77777777" w:rsidR="00D301D2" w:rsidRDefault="00D301D2">
            <w:pPr>
              <w:rPr>
                <w:rFonts w:asciiTheme="minorHAnsi" w:hAnsiTheme="minorHAnsi" w:cstheme="minorHAnsi"/>
                <w:b/>
                <w:bCs/>
                <w:sz w:val="22"/>
                <w:szCs w:val="20"/>
              </w:rPr>
            </w:pPr>
            <w:r>
              <w:rPr>
                <w:rFonts w:asciiTheme="minorHAnsi" w:hAnsiTheme="minorHAnsi" w:cstheme="minorHAnsi"/>
                <w:b/>
                <w:bCs/>
                <w:sz w:val="22"/>
                <w:szCs w:val="20"/>
              </w:rPr>
              <w:t>American Nurses Association</w:t>
            </w:r>
          </w:p>
        </w:tc>
        <w:tc>
          <w:tcPr>
            <w:tcW w:w="6370" w:type="dxa"/>
            <w:shd w:val="clear" w:color="auto" w:fill="E0EA9E" w:themeFill="accent4" w:themeFillTint="66"/>
            <w:noWrap/>
            <w:vAlign w:val="center"/>
          </w:tcPr>
          <w:p w14:paraId="63735171" w14:textId="77777777" w:rsidR="00D301D2" w:rsidRPr="00BA474E" w:rsidRDefault="00D301D2">
            <w:pPr>
              <w:rPr>
                <w:rFonts w:asciiTheme="minorHAnsi" w:hAnsiTheme="minorHAnsi" w:cstheme="minorHAnsi"/>
                <w:b/>
                <w:bCs/>
                <w:sz w:val="22"/>
                <w:szCs w:val="20"/>
              </w:rPr>
            </w:pPr>
            <w:r>
              <w:rPr>
                <w:rFonts w:asciiTheme="minorHAnsi" w:hAnsiTheme="minorHAnsi" w:cstheme="minorHAnsi"/>
                <w:b/>
                <w:bCs/>
                <w:sz w:val="22"/>
                <w:szCs w:val="20"/>
              </w:rPr>
              <w:t>Purpose/Details</w:t>
            </w:r>
          </w:p>
        </w:tc>
      </w:tr>
      <w:tr w:rsidR="00D301D2" w:rsidRPr="00C67B62" w14:paraId="2FBAA1CB" w14:textId="77777777" w:rsidTr="00E71088">
        <w:trPr>
          <w:trHeight w:val="20"/>
          <w:jc w:val="center"/>
        </w:trPr>
        <w:tc>
          <w:tcPr>
            <w:tcW w:w="4405" w:type="dxa"/>
            <w:noWrap/>
            <w:vAlign w:val="center"/>
          </w:tcPr>
          <w:p w14:paraId="0966EDBA" w14:textId="77777777" w:rsidR="00D301D2" w:rsidRDefault="00D301D2">
            <w:pPr>
              <w:rPr>
                <w:rFonts w:asciiTheme="minorHAnsi" w:hAnsiTheme="minorHAnsi" w:cstheme="minorHAnsi"/>
                <w:b/>
                <w:bCs/>
                <w:sz w:val="22"/>
                <w:szCs w:val="20"/>
              </w:rPr>
            </w:pPr>
            <w:hyperlink r:id="rId13">
              <w:r w:rsidRPr="00E45183">
                <w:rPr>
                  <w:rStyle w:val="Hyperlink"/>
                  <w:rFonts w:asciiTheme="minorHAnsi" w:hAnsiTheme="minorHAnsi" w:cstheme="minorHAnsi"/>
                  <w:sz w:val="22"/>
                  <w:szCs w:val="22"/>
                  <w:u w:val="none"/>
                </w:rPr>
                <w:t>ANA Code of Ethics</w:t>
              </w:r>
            </w:hyperlink>
          </w:p>
        </w:tc>
        <w:tc>
          <w:tcPr>
            <w:tcW w:w="6370" w:type="dxa"/>
            <w:noWrap/>
            <w:vAlign w:val="center"/>
          </w:tcPr>
          <w:p w14:paraId="4CBAA78D" w14:textId="77777777" w:rsidR="00D301D2" w:rsidRPr="00BA474E" w:rsidRDefault="00D301D2">
            <w:pPr>
              <w:rPr>
                <w:rFonts w:asciiTheme="minorHAnsi" w:hAnsiTheme="minorHAnsi" w:cstheme="minorHAnsi"/>
                <w:b/>
                <w:bCs/>
                <w:sz w:val="22"/>
                <w:szCs w:val="20"/>
              </w:rPr>
            </w:pPr>
            <w:r w:rsidRPr="008968E1">
              <w:rPr>
                <w:rFonts w:asciiTheme="minorHAnsi" w:hAnsiTheme="minorHAnsi" w:cstheme="minorHAnsi"/>
                <w:sz w:val="22"/>
              </w:rPr>
              <w:t>The Code of Ethics for Nurses with Interpretive Statements was developed as a guide for carrying out nursing responsibilities in a manner consistent with quality in nursing care and the ethical obligations of the profession.</w:t>
            </w:r>
          </w:p>
        </w:tc>
      </w:tr>
    </w:tbl>
    <w:p w14:paraId="4A6CD576" w14:textId="77777777" w:rsidR="00136D97" w:rsidRPr="00F95185" w:rsidRDefault="00136D97">
      <w:pPr>
        <w:rPr>
          <w:sz w:val="16"/>
          <w:szCs w:val="16"/>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6370"/>
      </w:tblGrid>
      <w:tr w:rsidR="00136D97" w:rsidRPr="00C67B62" w14:paraId="0B87CF88" w14:textId="77777777" w:rsidTr="00E71088">
        <w:trPr>
          <w:trHeight w:val="20"/>
          <w:jc w:val="center"/>
        </w:trPr>
        <w:tc>
          <w:tcPr>
            <w:tcW w:w="4405" w:type="dxa"/>
            <w:shd w:val="clear" w:color="auto" w:fill="E0EA9E" w:themeFill="accent4" w:themeFillTint="66"/>
            <w:noWrap/>
            <w:vAlign w:val="center"/>
          </w:tcPr>
          <w:p w14:paraId="60F691C1" w14:textId="77777777" w:rsidR="00136D97" w:rsidRPr="00BA474E" w:rsidRDefault="00136D97">
            <w:pPr>
              <w:rPr>
                <w:rFonts w:asciiTheme="minorHAnsi" w:hAnsiTheme="minorHAnsi" w:cstheme="minorHAnsi"/>
                <w:b/>
                <w:bCs/>
                <w:sz w:val="22"/>
                <w:szCs w:val="20"/>
              </w:rPr>
            </w:pPr>
            <w:r>
              <w:rPr>
                <w:rFonts w:asciiTheme="minorHAnsi" w:hAnsiTheme="minorHAnsi" w:cstheme="minorHAnsi"/>
                <w:b/>
                <w:bCs/>
                <w:sz w:val="22"/>
                <w:szCs w:val="20"/>
              </w:rPr>
              <w:t xml:space="preserve">UNMC </w:t>
            </w:r>
            <w:r w:rsidRPr="00BA474E">
              <w:rPr>
                <w:rFonts w:asciiTheme="minorHAnsi" w:hAnsiTheme="minorHAnsi" w:cstheme="minorHAnsi"/>
                <w:b/>
                <w:bCs/>
                <w:sz w:val="22"/>
                <w:szCs w:val="20"/>
              </w:rPr>
              <w:t>Policy Name</w:t>
            </w:r>
          </w:p>
        </w:tc>
        <w:tc>
          <w:tcPr>
            <w:tcW w:w="6370" w:type="dxa"/>
            <w:shd w:val="clear" w:color="auto" w:fill="E0EA9E" w:themeFill="accent4" w:themeFillTint="66"/>
            <w:noWrap/>
            <w:vAlign w:val="center"/>
          </w:tcPr>
          <w:p w14:paraId="6E42962B" w14:textId="77777777" w:rsidR="00136D97" w:rsidRPr="00BA474E" w:rsidRDefault="00136D97">
            <w:pPr>
              <w:rPr>
                <w:rFonts w:asciiTheme="minorHAnsi" w:hAnsiTheme="minorHAnsi" w:cstheme="minorHAnsi"/>
                <w:b/>
                <w:bCs/>
                <w:sz w:val="22"/>
                <w:szCs w:val="20"/>
              </w:rPr>
            </w:pPr>
            <w:r w:rsidRPr="00BA474E">
              <w:rPr>
                <w:rFonts w:asciiTheme="minorHAnsi" w:hAnsiTheme="minorHAnsi" w:cstheme="minorHAnsi"/>
                <w:b/>
                <w:bCs/>
                <w:sz w:val="22"/>
                <w:szCs w:val="20"/>
              </w:rPr>
              <w:t>Purpose</w:t>
            </w:r>
            <w:r>
              <w:rPr>
                <w:rFonts w:asciiTheme="minorHAnsi" w:hAnsiTheme="minorHAnsi" w:cstheme="minorHAnsi"/>
                <w:b/>
                <w:bCs/>
                <w:sz w:val="22"/>
                <w:szCs w:val="20"/>
              </w:rPr>
              <w:t>/</w:t>
            </w:r>
            <w:r w:rsidRPr="00BA474E">
              <w:rPr>
                <w:rFonts w:asciiTheme="minorHAnsi" w:hAnsiTheme="minorHAnsi" w:cstheme="minorHAnsi"/>
                <w:b/>
                <w:bCs/>
                <w:sz w:val="22"/>
                <w:szCs w:val="20"/>
              </w:rPr>
              <w:t>Details</w:t>
            </w:r>
          </w:p>
        </w:tc>
      </w:tr>
      <w:tr w:rsidR="00136D97" w:rsidRPr="00C67B62" w14:paraId="449FBB7B" w14:textId="77777777" w:rsidTr="00E71088">
        <w:trPr>
          <w:trHeight w:val="20"/>
          <w:jc w:val="center"/>
        </w:trPr>
        <w:tc>
          <w:tcPr>
            <w:tcW w:w="4405" w:type="dxa"/>
            <w:shd w:val="clear" w:color="auto" w:fill="FFFFFF" w:themeFill="background1"/>
            <w:noWrap/>
            <w:vAlign w:val="center"/>
          </w:tcPr>
          <w:p w14:paraId="74315B10" w14:textId="77777777" w:rsidR="00136D97" w:rsidRPr="00E45183" w:rsidRDefault="00136D97">
            <w:pPr>
              <w:rPr>
                <w:rStyle w:val="Hyperlink"/>
                <w:rFonts w:asciiTheme="minorHAnsi" w:hAnsiTheme="minorHAnsi" w:cstheme="minorHAnsi"/>
                <w:sz w:val="22"/>
                <w:szCs w:val="22"/>
                <w:u w:val="none"/>
              </w:rPr>
            </w:pPr>
            <w:hyperlink r:id="rId14" w:history="1">
              <w:r w:rsidRPr="00E45183">
                <w:rPr>
                  <w:rStyle w:val="Hyperlink"/>
                  <w:rFonts w:asciiTheme="minorHAnsi" w:hAnsiTheme="minorHAnsi" w:cstheme="minorHAnsi"/>
                  <w:sz w:val="22"/>
                  <w:szCs w:val="22"/>
                  <w:u w:val="none"/>
                </w:rPr>
                <w:t>Student Code of Conduct</w:t>
              </w:r>
            </w:hyperlink>
          </w:p>
        </w:tc>
        <w:tc>
          <w:tcPr>
            <w:tcW w:w="6370" w:type="dxa"/>
            <w:shd w:val="clear" w:color="auto" w:fill="FFFFFF" w:themeFill="background1"/>
            <w:noWrap/>
            <w:vAlign w:val="center"/>
          </w:tcPr>
          <w:p w14:paraId="247F59AB" w14:textId="77777777" w:rsidR="00136D97" w:rsidRPr="00B46205" w:rsidRDefault="00136D97">
            <w:pPr>
              <w:rPr>
                <w:rFonts w:asciiTheme="minorHAnsi" w:hAnsiTheme="minorHAnsi" w:cstheme="minorHAnsi"/>
                <w:sz w:val="22"/>
              </w:rPr>
            </w:pPr>
            <w:r w:rsidRPr="00F86E37">
              <w:rPr>
                <w:rFonts w:asciiTheme="minorHAnsi" w:hAnsiTheme="minorHAnsi" w:cstheme="minorHAnsi"/>
                <w:sz w:val="22"/>
              </w:rPr>
              <w:t>Students at the University of Nebraska are members of an academic community in which academic integrity and responsible conduct are essential for the community to function. To ensure that students know what is expected of them, the University has adopted the Standards of Academic Integrity and Responsible Conduct</w:t>
            </w:r>
            <w:r>
              <w:rPr>
                <w:rFonts w:asciiTheme="minorHAnsi" w:hAnsiTheme="minorHAnsi" w:cstheme="minorHAnsi"/>
                <w:sz w:val="22"/>
              </w:rPr>
              <w:t>.</w:t>
            </w:r>
          </w:p>
        </w:tc>
      </w:tr>
      <w:tr w:rsidR="00391B8B" w14:paraId="3C467E6C" w14:textId="77777777" w:rsidTr="00391B8B">
        <w:trPr>
          <w:trHeight w:val="20"/>
          <w:jc w:val="center"/>
        </w:trPr>
        <w:tc>
          <w:tcPr>
            <w:tcW w:w="440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B2B069" w14:textId="3B28C2C4" w:rsidR="00391B8B" w:rsidRPr="003B422F" w:rsidRDefault="00391B8B" w:rsidP="00391B8B">
            <w:pPr>
              <w:rPr>
                <w:rFonts w:asciiTheme="minorHAnsi" w:hAnsiTheme="minorHAnsi" w:cstheme="minorHAnsi"/>
                <w:color w:val="0000FF"/>
                <w:sz w:val="22"/>
                <w:szCs w:val="22"/>
              </w:rPr>
            </w:pPr>
            <w:hyperlink r:id="rId15" w:tgtFrame="_blank" w:history="1">
              <w:r w:rsidRPr="003B422F">
                <w:rPr>
                  <w:rStyle w:val="Hyperlink"/>
                  <w:rFonts w:asciiTheme="minorHAnsi" w:hAnsiTheme="minorHAnsi" w:cstheme="minorHAnsi"/>
                  <w:sz w:val="22"/>
                  <w:szCs w:val="22"/>
                  <w:u w:val="none"/>
                </w:rPr>
                <w:t>AI Use Guidelines</w:t>
              </w:r>
            </w:hyperlink>
          </w:p>
        </w:tc>
        <w:tc>
          <w:tcPr>
            <w:tcW w:w="63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2652E2" w14:textId="77777777" w:rsidR="00391B8B" w:rsidRPr="00391B8B" w:rsidRDefault="00391B8B" w:rsidP="00391B8B">
            <w:pPr>
              <w:rPr>
                <w:rFonts w:asciiTheme="minorHAnsi" w:hAnsiTheme="minorHAnsi" w:cstheme="minorHAnsi"/>
                <w:sz w:val="22"/>
              </w:rPr>
            </w:pPr>
            <w:r w:rsidRPr="00391B8B">
              <w:rPr>
                <w:rStyle w:val="normaltextrun"/>
                <w:rFonts w:asciiTheme="minorHAnsi" w:hAnsiTheme="minorHAnsi" w:cstheme="minorHAnsi"/>
                <w:sz w:val="22"/>
              </w:rPr>
              <w:t>Ethical and responsible use of artificial intelligence (AI) must be paramount in all university activities that seek to develop or enhance AI systems or implement the use of AI technologies.  UNMC is committed to engaging with AI in support of its academic, research, patient care, and community engagement missions. These guidelines seek to balance the new possibilities offered by generative AI and other AI-enabled tools with awareness of their limitations and the need for rigorous attention to accuracy, intellectual property, security, privacy, and ethical issues. The appropriate use of AI and AI-enabled tools requires a collaborative approach among UNMC administrators, faculty, staff, students, information security partners, and NU campus partners.</w:t>
            </w:r>
            <w:r w:rsidRPr="00391B8B">
              <w:rPr>
                <w:rStyle w:val="eop"/>
                <w:rFonts w:asciiTheme="minorHAnsi" w:hAnsiTheme="minorHAnsi" w:cstheme="minorHAnsi"/>
                <w:sz w:val="22"/>
              </w:rPr>
              <w:t> </w:t>
            </w:r>
          </w:p>
        </w:tc>
      </w:tr>
      <w:tr w:rsidR="00136D97" w:rsidRPr="00C67B62" w14:paraId="4A3D01AF" w14:textId="77777777" w:rsidTr="00E71088">
        <w:trPr>
          <w:trHeight w:val="20"/>
          <w:jc w:val="center"/>
        </w:trPr>
        <w:tc>
          <w:tcPr>
            <w:tcW w:w="4405" w:type="dxa"/>
            <w:shd w:val="clear" w:color="auto" w:fill="FFFFFF" w:themeFill="background1"/>
            <w:noWrap/>
            <w:vAlign w:val="center"/>
          </w:tcPr>
          <w:p w14:paraId="3EE826AA" w14:textId="77777777" w:rsidR="00136D97" w:rsidRPr="00E45183" w:rsidRDefault="00136D97">
            <w:pPr>
              <w:rPr>
                <w:rStyle w:val="Hyperlink"/>
                <w:rFonts w:asciiTheme="minorHAnsi" w:hAnsiTheme="minorHAnsi" w:cstheme="minorHAnsi"/>
                <w:sz w:val="22"/>
                <w:szCs w:val="22"/>
                <w:u w:val="none"/>
              </w:rPr>
            </w:pPr>
            <w:hyperlink r:id="rId16" w:history="1">
              <w:r w:rsidRPr="00E45183">
                <w:rPr>
                  <w:rStyle w:val="Hyperlink"/>
                  <w:rFonts w:asciiTheme="minorHAnsi" w:hAnsiTheme="minorHAnsi" w:cstheme="minorHAnsi"/>
                  <w:sz w:val="22"/>
                  <w:szCs w:val="22"/>
                  <w:u w:val="none"/>
                </w:rPr>
                <w:t>Accommodation Policy (ADA Policy)</w:t>
              </w:r>
            </w:hyperlink>
          </w:p>
        </w:tc>
        <w:tc>
          <w:tcPr>
            <w:tcW w:w="6370" w:type="dxa"/>
            <w:shd w:val="clear" w:color="auto" w:fill="FFFFFF" w:themeFill="background1"/>
            <w:noWrap/>
            <w:vAlign w:val="center"/>
          </w:tcPr>
          <w:p w14:paraId="6B201E73" w14:textId="77777777" w:rsidR="00136D97" w:rsidRPr="00B46205" w:rsidRDefault="00136D97">
            <w:pPr>
              <w:rPr>
                <w:rFonts w:asciiTheme="minorHAnsi" w:hAnsiTheme="minorHAnsi" w:cstheme="minorHAnsi"/>
                <w:sz w:val="22"/>
              </w:rPr>
            </w:pPr>
            <w:r>
              <w:rPr>
                <w:rFonts w:asciiTheme="minorHAnsi" w:hAnsiTheme="minorHAnsi" w:cstheme="minorHAnsi"/>
                <w:sz w:val="22"/>
              </w:rPr>
              <w:t>UNMC</w:t>
            </w:r>
            <w:r w:rsidRPr="00830D5C">
              <w:rPr>
                <w:rFonts w:asciiTheme="minorHAnsi" w:hAnsiTheme="minorHAnsi" w:cstheme="minorHAnsi"/>
                <w:sz w:val="22"/>
              </w:rPr>
              <w:t xml:space="preserve"> takes pride in its diverse population and is committed to providing all </w:t>
            </w:r>
            <w:proofErr w:type="gramStart"/>
            <w:r w:rsidRPr="00830D5C">
              <w:rPr>
                <w:rFonts w:asciiTheme="minorHAnsi" w:hAnsiTheme="minorHAnsi" w:cstheme="minorHAnsi"/>
                <w:sz w:val="22"/>
              </w:rPr>
              <w:t>students</w:t>
            </w:r>
            <w:proofErr w:type="gramEnd"/>
            <w:r w:rsidRPr="00830D5C">
              <w:rPr>
                <w:rFonts w:asciiTheme="minorHAnsi" w:hAnsiTheme="minorHAnsi" w:cstheme="minorHAnsi"/>
                <w:sz w:val="22"/>
              </w:rPr>
              <w:t xml:space="preserve"> the opportunity to take full advantage of its programs and facilities. In keeping with this philosophy, UNMC strives to eliminate architectural and programmatic barriers that </w:t>
            </w:r>
            <w:r w:rsidRPr="00830D5C">
              <w:rPr>
                <w:rFonts w:asciiTheme="minorHAnsi" w:hAnsiTheme="minorHAnsi" w:cstheme="minorHAnsi"/>
                <w:sz w:val="22"/>
              </w:rPr>
              <w:lastRenderedPageBreak/>
              <w:t xml:space="preserve">may prevent qualified students with disabilities from obtaining an academic or professional degree. The ASC provides reasonable accommodations to students with disabilities and/or medical conditions an equal opportunity to participate in academic programs and to promote and facilitate the integration of students with disabilities into the mainstream of university academic life. Students in need of </w:t>
            </w:r>
            <w:proofErr w:type="gramStart"/>
            <w:r w:rsidRPr="00830D5C">
              <w:rPr>
                <w:rFonts w:asciiTheme="minorHAnsi" w:hAnsiTheme="minorHAnsi" w:cstheme="minorHAnsi"/>
                <w:sz w:val="22"/>
              </w:rPr>
              <w:t>accommodations</w:t>
            </w:r>
            <w:proofErr w:type="gramEnd"/>
            <w:r w:rsidRPr="00830D5C">
              <w:rPr>
                <w:rFonts w:asciiTheme="minorHAnsi" w:hAnsiTheme="minorHAnsi" w:cstheme="minorHAnsi"/>
                <w:sz w:val="22"/>
              </w:rPr>
              <w:t xml:space="preserve"> should reach out to the ASC as soon as possible to initiate the request, as accommodation </w:t>
            </w:r>
            <w:proofErr w:type="gramStart"/>
            <w:r w:rsidRPr="00830D5C">
              <w:rPr>
                <w:rFonts w:asciiTheme="minorHAnsi" w:hAnsiTheme="minorHAnsi" w:cstheme="minorHAnsi"/>
                <w:sz w:val="22"/>
              </w:rPr>
              <w:t>are</w:t>
            </w:r>
            <w:proofErr w:type="gramEnd"/>
            <w:r w:rsidRPr="00830D5C">
              <w:rPr>
                <w:rFonts w:asciiTheme="minorHAnsi" w:hAnsiTheme="minorHAnsi" w:cstheme="minorHAnsi"/>
                <w:sz w:val="22"/>
              </w:rPr>
              <w:t xml:space="preserve"> not retroactive in nature. However, the accountability and responsibility of accommodations is shared among faculty, students, administrators, and staff. Reasonable accommodations for students with disabilities are designed to provide equal access in a manner that does not compromise essential elements of academic programs.</w:t>
            </w:r>
          </w:p>
        </w:tc>
      </w:tr>
      <w:tr w:rsidR="00136D97" w:rsidRPr="00C67B62" w14:paraId="4450F61C" w14:textId="77777777" w:rsidTr="00E71088">
        <w:trPr>
          <w:trHeight w:val="20"/>
          <w:jc w:val="center"/>
        </w:trPr>
        <w:tc>
          <w:tcPr>
            <w:tcW w:w="4405" w:type="dxa"/>
            <w:shd w:val="clear" w:color="auto" w:fill="FFFFFF" w:themeFill="background1"/>
            <w:noWrap/>
            <w:vAlign w:val="center"/>
          </w:tcPr>
          <w:p w14:paraId="21768399" w14:textId="77777777" w:rsidR="00136D97" w:rsidRPr="00E45183" w:rsidRDefault="00136D97">
            <w:pPr>
              <w:rPr>
                <w:rStyle w:val="Hyperlink"/>
                <w:rFonts w:asciiTheme="minorHAnsi" w:hAnsiTheme="minorHAnsi" w:cstheme="minorHAnsi"/>
                <w:sz w:val="22"/>
                <w:szCs w:val="22"/>
                <w:u w:val="none"/>
              </w:rPr>
            </w:pPr>
            <w:hyperlink r:id="rId17">
              <w:r w:rsidRPr="00E45183">
                <w:rPr>
                  <w:rStyle w:val="Hyperlink"/>
                  <w:rFonts w:asciiTheme="minorHAnsi" w:hAnsiTheme="minorHAnsi" w:cstheme="minorHAnsi"/>
                  <w:sz w:val="22"/>
                  <w:szCs w:val="22"/>
                  <w:u w:val="none"/>
                </w:rPr>
                <w:t>Title IX Information</w:t>
              </w:r>
            </w:hyperlink>
          </w:p>
        </w:tc>
        <w:tc>
          <w:tcPr>
            <w:tcW w:w="6370" w:type="dxa"/>
            <w:shd w:val="clear" w:color="auto" w:fill="FFFFFF" w:themeFill="background1"/>
            <w:noWrap/>
            <w:vAlign w:val="center"/>
          </w:tcPr>
          <w:p w14:paraId="5AA34312" w14:textId="77777777" w:rsidR="00136D97" w:rsidRPr="00B46205" w:rsidRDefault="00136D97">
            <w:pPr>
              <w:rPr>
                <w:rFonts w:asciiTheme="minorHAnsi" w:hAnsiTheme="minorHAnsi" w:cstheme="minorHAnsi"/>
                <w:sz w:val="22"/>
              </w:rPr>
            </w:pPr>
            <w:r w:rsidRPr="00E31D22">
              <w:rPr>
                <w:rFonts w:asciiTheme="minorHAnsi" w:hAnsiTheme="minorHAnsi" w:cstheme="minorHAnsi"/>
                <w:sz w:val="22"/>
              </w:rPr>
              <w:t xml:space="preserve">Title IX of the Education Amendments of 1972 prohibits discrimination </w:t>
            </w:r>
            <w:proofErr w:type="gramStart"/>
            <w:r w:rsidRPr="00E31D22">
              <w:rPr>
                <w:rFonts w:asciiTheme="minorHAnsi" w:hAnsiTheme="minorHAnsi" w:cstheme="minorHAnsi"/>
                <w:sz w:val="22"/>
              </w:rPr>
              <w:t>on the basis of</w:t>
            </w:r>
            <w:proofErr w:type="gramEnd"/>
            <w:r w:rsidRPr="00E31D22">
              <w:rPr>
                <w:rFonts w:asciiTheme="minorHAnsi" w:hAnsiTheme="minorHAnsi" w:cstheme="minorHAnsi"/>
                <w:sz w:val="22"/>
              </w:rPr>
              <w:t xml:space="preserve"> sex in education programs receiving Federal financial assistance.</w:t>
            </w:r>
            <w:r>
              <w:rPr>
                <w:rFonts w:asciiTheme="minorHAnsi" w:hAnsiTheme="minorHAnsi" w:cstheme="minorHAnsi"/>
                <w:sz w:val="22"/>
              </w:rPr>
              <w:t xml:space="preserve"> </w:t>
            </w:r>
            <w:r w:rsidRPr="00E31D22">
              <w:rPr>
                <w:rFonts w:asciiTheme="minorHAnsi" w:hAnsiTheme="minorHAnsi" w:cstheme="minorHAnsi"/>
                <w:sz w:val="22"/>
              </w:rPr>
              <w:t>"No person in the United States shall, on the basis of sex, be excluded from participation in, be denied the benefits of, or be subjected to discrimination under any education program or activity receiving Federal financial assistance.</w:t>
            </w:r>
          </w:p>
        </w:tc>
      </w:tr>
      <w:tr w:rsidR="00136D97" w:rsidRPr="00C67B62" w14:paraId="0ADEC744" w14:textId="77777777" w:rsidTr="00E71088">
        <w:trPr>
          <w:trHeight w:val="20"/>
          <w:jc w:val="center"/>
        </w:trPr>
        <w:tc>
          <w:tcPr>
            <w:tcW w:w="4405" w:type="dxa"/>
            <w:noWrap/>
            <w:vAlign w:val="center"/>
          </w:tcPr>
          <w:p w14:paraId="70FE7193" w14:textId="77777777" w:rsidR="00136D97" w:rsidRPr="00E45183" w:rsidRDefault="00136D97">
            <w:pPr>
              <w:rPr>
                <w:rStyle w:val="Hyperlink"/>
                <w:rFonts w:asciiTheme="minorHAnsi" w:hAnsiTheme="minorHAnsi" w:cstheme="minorHAnsi"/>
                <w:sz w:val="22"/>
                <w:szCs w:val="22"/>
                <w:u w:val="none"/>
              </w:rPr>
            </w:pPr>
            <w:hyperlink r:id="rId18">
              <w:r w:rsidRPr="00E45183">
                <w:rPr>
                  <w:rStyle w:val="Hyperlink"/>
                  <w:rFonts w:asciiTheme="minorHAnsi" w:hAnsiTheme="minorHAnsi" w:cstheme="minorHAnsi"/>
                  <w:sz w:val="22"/>
                  <w:szCs w:val="22"/>
                  <w:u w:val="none"/>
                </w:rPr>
                <w:t>Deadly Weapons Policy</w:t>
              </w:r>
            </w:hyperlink>
          </w:p>
        </w:tc>
        <w:tc>
          <w:tcPr>
            <w:tcW w:w="6370" w:type="dxa"/>
            <w:noWrap/>
            <w:vAlign w:val="center"/>
          </w:tcPr>
          <w:p w14:paraId="6C5819B3" w14:textId="77777777" w:rsidR="00136D97" w:rsidRPr="008968E1" w:rsidRDefault="00136D97">
            <w:pPr>
              <w:rPr>
                <w:rFonts w:asciiTheme="minorHAnsi" w:hAnsiTheme="minorHAnsi" w:cstheme="minorHAnsi"/>
                <w:sz w:val="22"/>
              </w:rPr>
            </w:pPr>
            <w:r w:rsidRPr="00BD3CE4">
              <w:rPr>
                <w:rFonts w:asciiTheme="minorHAnsi" w:hAnsiTheme="minorHAnsi" w:cstheme="minorHAnsi"/>
                <w:sz w:val="22"/>
              </w:rPr>
              <w:t xml:space="preserve">It is the policy of the </w:t>
            </w:r>
            <w:r>
              <w:rPr>
                <w:rFonts w:asciiTheme="minorHAnsi" w:hAnsiTheme="minorHAnsi" w:cstheme="minorHAnsi"/>
                <w:sz w:val="22"/>
              </w:rPr>
              <w:t>UNMC</w:t>
            </w:r>
            <w:r w:rsidRPr="00BD3CE4">
              <w:rPr>
                <w:rFonts w:asciiTheme="minorHAnsi" w:hAnsiTheme="minorHAnsi" w:cstheme="minorHAnsi"/>
                <w:sz w:val="22"/>
              </w:rPr>
              <w:t xml:space="preserve"> to prohibit possession of deadly weapons on </w:t>
            </w:r>
            <w:proofErr w:type="gramStart"/>
            <w:r w:rsidRPr="00BD3CE4">
              <w:rPr>
                <w:rFonts w:asciiTheme="minorHAnsi" w:hAnsiTheme="minorHAnsi" w:cstheme="minorHAnsi"/>
                <w:sz w:val="22"/>
              </w:rPr>
              <w:t>University</w:t>
            </w:r>
            <w:proofErr w:type="gramEnd"/>
            <w:r w:rsidRPr="00BD3CE4">
              <w:rPr>
                <w:rFonts w:asciiTheme="minorHAnsi" w:hAnsiTheme="minorHAnsi" w:cstheme="minorHAnsi"/>
                <w:sz w:val="22"/>
              </w:rPr>
              <w:t xml:space="preserve"> property.</w:t>
            </w:r>
          </w:p>
        </w:tc>
      </w:tr>
    </w:tbl>
    <w:p w14:paraId="52EE854D" w14:textId="167CC93C" w:rsidR="00936021" w:rsidRPr="00F95185" w:rsidRDefault="00936021" w:rsidP="00936021">
      <w:pPr>
        <w:autoSpaceDE w:val="0"/>
        <w:autoSpaceDN w:val="0"/>
        <w:adjustRightInd w:val="0"/>
        <w:rPr>
          <w:rFonts w:ascii="Arial" w:hAnsi="Arial"/>
          <w:color w:val="000000" w:themeColor="text1"/>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6475"/>
      </w:tblGrid>
      <w:tr w:rsidR="00CB6905" w:rsidRPr="00416B7D" w14:paraId="6DBED622" w14:textId="77777777" w:rsidTr="00212A95">
        <w:trPr>
          <w:trHeight w:val="20"/>
          <w:jc w:val="center"/>
        </w:trPr>
        <w:tc>
          <w:tcPr>
            <w:tcW w:w="4315" w:type="dxa"/>
            <w:shd w:val="clear" w:color="auto" w:fill="E0EA9E" w:themeFill="accent4" w:themeFillTint="66"/>
            <w:noWrap/>
            <w:vAlign w:val="center"/>
          </w:tcPr>
          <w:p w14:paraId="60BF4AA4" w14:textId="77777777" w:rsidR="00CB6905" w:rsidRPr="00416B7D" w:rsidRDefault="00CB6905" w:rsidP="00212A95">
            <w:pPr>
              <w:rPr>
                <w:rFonts w:asciiTheme="minorHAnsi" w:hAnsiTheme="minorHAnsi" w:cstheme="minorHAnsi"/>
                <w:b/>
                <w:bCs/>
                <w:sz w:val="22"/>
              </w:rPr>
            </w:pPr>
            <w:r w:rsidRPr="00416B7D">
              <w:rPr>
                <w:rFonts w:asciiTheme="minorHAnsi" w:hAnsiTheme="minorHAnsi" w:cstheme="minorHAnsi"/>
                <w:b/>
                <w:bCs/>
                <w:sz w:val="22"/>
              </w:rPr>
              <w:t xml:space="preserve">CON </w:t>
            </w:r>
            <w:r w:rsidRPr="7EFCE182">
              <w:rPr>
                <w:rFonts w:asciiTheme="minorHAnsi" w:hAnsiTheme="minorHAnsi" w:cstheme="minorBidi"/>
                <w:b/>
                <w:bCs/>
                <w:sz w:val="22"/>
                <w:szCs w:val="22"/>
              </w:rPr>
              <w:t>Philosophy &amp; Org Framework</w:t>
            </w:r>
            <w:r w:rsidRPr="00416B7D">
              <w:rPr>
                <w:rFonts w:asciiTheme="minorHAnsi" w:hAnsiTheme="minorHAnsi" w:cstheme="minorHAnsi"/>
                <w:b/>
                <w:bCs/>
                <w:sz w:val="22"/>
              </w:rPr>
              <w:t xml:space="preserve"> </w:t>
            </w:r>
          </w:p>
        </w:tc>
        <w:tc>
          <w:tcPr>
            <w:tcW w:w="6475" w:type="dxa"/>
            <w:shd w:val="clear" w:color="auto" w:fill="E0EA9E" w:themeFill="accent4" w:themeFillTint="66"/>
            <w:noWrap/>
            <w:vAlign w:val="center"/>
          </w:tcPr>
          <w:p w14:paraId="259F5CFB" w14:textId="77777777" w:rsidR="00CB6905" w:rsidRPr="00416B7D" w:rsidRDefault="00CB6905" w:rsidP="00212A95">
            <w:pPr>
              <w:rPr>
                <w:rFonts w:asciiTheme="minorHAnsi" w:hAnsiTheme="minorHAnsi" w:cstheme="minorHAnsi"/>
                <w:b/>
                <w:bCs/>
                <w:sz w:val="22"/>
              </w:rPr>
            </w:pPr>
            <w:r w:rsidRPr="004E1E2D">
              <w:rPr>
                <w:rFonts w:asciiTheme="minorHAnsi" w:hAnsiTheme="minorHAnsi" w:cstheme="minorHAnsi"/>
                <w:b/>
                <w:bCs/>
                <w:sz w:val="22"/>
              </w:rPr>
              <w:t>Purpose/Details</w:t>
            </w:r>
          </w:p>
        </w:tc>
      </w:tr>
      <w:tr w:rsidR="00CB6905" w:rsidRPr="001C3BDD" w14:paraId="4AF63795" w14:textId="77777777" w:rsidTr="00212A95">
        <w:trPr>
          <w:trHeight w:val="20"/>
          <w:jc w:val="center"/>
        </w:trPr>
        <w:tc>
          <w:tcPr>
            <w:tcW w:w="4315" w:type="dxa"/>
            <w:noWrap/>
            <w:vAlign w:val="center"/>
          </w:tcPr>
          <w:p w14:paraId="4D29C518" w14:textId="77777777" w:rsidR="00CB6905" w:rsidRPr="001C3BDD" w:rsidRDefault="00CB6905" w:rsidP="00212A95">
            <w:pPr>
              <w:rPr>
                <w:rFonts w:asciiTheme="minorHAnsi" w:hAnsiTheme="minorHAnsi" w:cstheme="minorHAnsi"/>
                <w:sz w:val="22"/>
              </w:rPr>
            </w:pPr>
            <w:r>
              <w:rPr>
                <w:rStyle w:val="Hyperlink"/>
                <w:rFonts w:asciiTheme="minorHAnsi" w:hAnsiTheme="minorHAnsi" w:cstheme="minorHAnsi"/>
                <w:sz w:val="22"/>
                <w:szCs w:val="22"/>
                <w:u w:val="none"/>
              </w:rPr>
              <w:t>P</w:t>
            </w:r>
            <w:r w:rsidRPr="004E159E">
              <w:rPr>
                <w:rStyle w:val="Hyperlink"/>
                <w:rFonts w:asciiTheme="minorHAnsi" w:hAnsiTheme="minorHAnsi" w:cstheme="minorHAnsi"/>
                <w:sz w:val="22"/>
                <w:szCs w:val="22"/>
                <w:u w:val="none"/>
              </w:rPr>
              <w:t>hilosophy Statement</w:t>
            </w:r>
          </w:p>
        </w:tc>
        <w:tc>
          <w:tcPr>
            <w:tcW w:w="6475" w:type="dxa"/>
            <w:noWrap/>
            <w:vAlign w:val="center"/>
          </w:tcPr>
          <w:p w14:paraId="567B158A" w14:textId="77777777" w:rsidR="00CB6905" w:rsidRPr="001C3BDD" w:rsidRDefault="00CB6905" w:rsidP="00212A95">
            <w:pPr>
              <w:rPr>
                <w:rFonts w:asciiTheme="minorHAnsi" w:hAnsiTheme="minorHAnsi" w:cstheme="minorHAnsi"/>
                <w:sz w:val="22"/>
              </w:rPr>
            </w:pPr>
            <w:r w:rsidRPr="00DA7BF0">
              <w:rPr>
                <w:rFonts w:ascii="Calibri" w:eastAsia="Calibri" w:hAnsi="Calibri" w:cs="Calibri"/>
                <w:color w:val="444444"/>
                <w:sz w:val="22"/>
                <w:szCs w:val="22"/>
              </w:rPr>
              <w:t>The nursing metaparadigm (human being, health, environment, and nursing) guides students and faculty in teaching and learning at all levels of nursing education at the College of Nursing.</w:t>
            </w:r>
          </w:p>
        </w:tc>
      </w:tr>
      <w:tr w:rsidR="00CB6905" w:rsidRPr="001C3BDD" w14:paraId="115AA802" w14:textId="77777777" w:rsidTr="00212A95">
        <w:trPr>
          <w:trHeight w:val="20"/>
          <w:jc w:val="center"/>
        </w:trPr>
        <w:tc>
          <w:tcPr>
            <w:tcW w:w="4315" w:type="dxa"/>
            <w:noWrap/>
            <w:vAlign w:val="center"/>
          </w:tcPr>
          <w:p w14:paraId="62BF30E9" w14:textId="77777777" w:rsidR="00CB6905" w:rsidRPr="001C3BDD" w:rsidRDefault="00CB6905" w:rsidP="00212A95">
            <w:pPr>
              <w:rPr>
                <w:rFonts w:asciiTheme="minorHAnsi" w:hAnsiTheme="minorHAnsi" w:cstheme="minorHAnsi"/>
                <w:sz w:val="22"/>
              </w:rPr>
            </w:pPr>
            <w:r>
              <w:rPr>
                <w:rStyle w:val="Hyperlink"/>
                <w:rFonts w:asciiTheme="minorHAnsi" w:hAnsiTheme="minorHAnsi" w:cstheme="minorHAnsi"/>
                <w:sz w:val="22"/>
                <w:szCs w:val="22"/>
                <w:u w:val="none"/>
              </w:rPr>
              <w:t>Organizing Framework</w:t>
            </w:r>
          </w:p>
        </w:tc>
        <w:tc>
          <w:tcPr>
            <w:tcW w:w="6475" w:type="dxa"/>
            <w:noWrap/>
            <w:vAlign w:val="center"/>
          </w:tcPr>
          <w:p w14:paraId="5BC4360E" w14:textId="77777777" w:rsidR="00CB6905" w:rsidRPr="001C3BDD" w:rsidRDefault="00CB6905" w:rsidP="00212A95">
            <w:pPr>
              <w:rPr>
                <w:rFonts w:asciiTheme="minorHAnsi" w:hAnsiTheme="minorHAnsi" w:cstheme="minorHAnsi"/>
                <w:sz w:val="22"/>
              </w:rPr>
            </w:pPr>
            <w:r w:rsidRPr="00947005">
              <w:rPr>
                <w:rFonts w:ascii="Calibri" w:eastAsia="Calibri" w:hAnsi="Calibri" w:cs="Calibri"/>
                <w:color w:val="444444"/>
                <w:sz w:val="22"/>
                <w:szCs w:val="22"/>
              </w:rPr>
              <w:t>The organizing framework illustrates the relationships between human beings and their health, the environment and professional nursing. The framework represents the</w:t>
            </w:r>
            <w:r>
              <w:rPr>
                <w:rFonts w:ascii="Calibri" w:eastAsia="Calibri" w:hAnsi="Calibri" w:cs="Calibri"/>
                <w:color w:val="444444"/>
                <w:sz w:val="22"/>
                <w:szCs w:val="22"/>
              </w:rPr>
              <w:t xml:space="preserve"> </w:t>
            </w:r>
            <w:r w:rsidRPr="00947005">
              <w:rPr>
                <w:rFonts w:ascii="Calibri" w:eastAsia="Calibri" w:hAnsi="Calibri" w:cs="Calibri"/>
                <w:color w:val="444444"/>
                <w:sz w:val="22"/>
                <w:szCs w:val="22"/>
              </w:rPr>
              <w:t xml:space="preserve">College of Nursing's view of nursing and the ways faculty and students work together to enable students to </w:t>
            </w:r>
            <w:proofErr w:type="gramStart"/>
            <w:r w:rsidRPr="00947005">
              <w:rPr>
                <w:rFonts w:ascii="Calibri" w:eastAsia="Calibri" w:hAnsi="Calibri" w:cs="Calibri"/>
                <w:color w:val="444444"/>
                <w:sz w:val="22"/>
                <w:szCs w:val="22"/>
              </w:rPr>
              <w:t>enter into</w:t>
            </w:r>
            <w:proofErr w:type="gramEnd"/>
            <w:r w:rsidRPr="00947005">
              <w:rPr>
                <w:rFonts w:ascii="Calibri" w:eastAsia="Calibri" w:hAnsi="Calibri" w:cs="Calibri"/>
                <w:color w:val="444444"/>
                <w:sz w:val="22"/>
                <w:szCs w:val="22"/>
              </w:rPr>
              <w:t xml:space="preserve"> and advance the profession of nursing.</w:t>
            </w:r>
          </w:p>
        </w:tc>
      </w:tr>
    </w:tbl>
    <w:p w14:paraId="4A596334" w14:textId="77777777" w:rsidR="004C2198" w:rsidRPr="00F95185" w:rsidRDefault="004C2198" w:rsidP="00936021">
      <w:pPr>
        <w:autoSpaceDE w:val="0"/>
        <w:autoSpaceDN w:val="0"/>
        <w:adjustRightInd w:val="0"/>
        <w:rPr>
          <w:rFonts w:ascii="Arial" w:hAnsi="Arial"/>
          <w:color w:val="000000" w:themeColor="text1"/>
          <w:sz w:val="16"/>
          <w:szCs w:val="16"/>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1170"/>
        <w:gridCol w:w="5200"/>
      </w:tblGrid>
      <w:tr w:rsidR="00983201" w:rsidRPr="00416B7D" w14:paraId="56704C63" w14:textId="77777777" w:rsidTr="00E71088">
        <w:trPr>
          <w:trHeight w:val="20"/>
          <w:jc w:val="center"/>
        </w:trPr>
        <w:tc>
          <w:tcPr>
            <w:tcW w:w="4405" w:type="dxa"/>
            <w:shd w:val="clear" w:color="auto" w:fill="E0EA9E" w:themeFill="accent4" w:themeFillTint="66"/>
            <w:noWrap/>
            <w:vAlign w:val="center"/>
          </w:tcPr>
          <w:p w14:paraId="74E067B4" w14:textId="77777777" w:rsidR="00983201" w:rsidRPr="00416B7D" w:rsidRDefault="00983201">
            <w:pPr>
              <w:rPr>
                <w:rFonts w:asciiTheme="minorHAnsi" w:hAnsiTheme="minorHAnsi" w:cstheme="minorHAnsi"/>
                <w:b/>
                <w:bCs/>
                <w:sz w:val="22"/>
              </w:rPr>
            </w:pPr>
            <w:r w:rsidRPr="00416B7D">
              <w:rPr>
                <w:rFonts w:asciiTheme="minorHAnsi" w:hAnsiTheme="minorHAnsi" w:cstheme="minorHAnsi"/>
                <w:b/>
                <w:bCs/>
                <w:sz w:val="22"/>
              </w:rPr>
              <w:t>CON Policy</w:t>
            </w:r>
            <w:r>
              <w:rPr>
                <w:rFonts w:asciiTheme="minorHAnsi" w:hAnsiTheme="minorHAnsi" w:cstheme="minorHAnsi"/>
                <w:b/>
                <w:bCs/>
                <w:sz w:val="22"/>
              </w:rPr>
              <w:t xml:space="preserve"> Name</w:t>
            </w:r>
          </w:p>
        </w:tc>
        <w:tc>
          <w:tcPr>
            <w:tcW w:w="1170" w:type="dxa"/>
            <w:shd w:val="clear" w:color="auto" w:fill="E0EA9E" w:themeFill="accent4" w:themeFillTint="66"/>
            <w:noWrap/>
            <w:vAlign w:val="center"/>
          </w:tcPr>
          <w:p w14:paraId="5FF74BB7" w14:textId="77777777" w:rsidR="00983201" w:rsidRPr="00C23C8C" w:rsidRDefault="00983201">
            <w:pPr>
              <w:rPr>
                <w:rFonts w:asciiTheme="minorHAnsi" w:hAnsiTheme="minorHAnsi" w:cstheme="minorHAnsi"/>
                <w:b/>
                <w:bCs/>
                <w:sz w:val="22"/>
              </w:rPr>
            </w:pPr>
            <w:r w:rsidRPr="00C23C8C">
              <w:rPr>
                <w:rFonts w:asciiTheme="minorHAnsi" w:hAnsiTheme="minorHAnsi" w:cstheme="minorHAnsi"/>
                <w:b/>
                <w:bCs/>
                <w:sz w:val="22"/>
              </w:rPr>
              <w:t>Number</w:t>
            </w:r>
          </w:p>
        </w:tc>
        <w:tc>
          <w:tcPr>
            <w:tcW w:w="5200" w:type="dxa"/>
            <w:shd w:val="clear" w:color="auto" w:fill="E0EA9E" w:themeFill="accent4" w:themeFillTint="66"/>
            <w:noWrap/>
            <w:vAlign w:val="center"/>
          </w:tcPr>
          <w:p w14:paraId="2D2097E7" w14:textId="77777777" w:rsidR="00983201" w:rsidRPr="00416B7D" w:rsidRDefault="00983201">
            <w:pPr>
              <w:rPr>
                <w:rFonts w:asciiTheme="minorHAnsi" w:hAnsiTheme="minorHAnsi" w:cstheme="minorHAnsi"/>
                <w:b/>
                <w:bCs/>
                <w:sz w:val="22"/>
              </w:rPr>
            </w:pPr>
            <w:r>
              <w:rPr>
                <w:rFonts w:asciiTheme="minorHAnsi" w:hAnsiTheme="minorHAnsi" w:cstheme="minorHAnsi"/>
                <w:b/>
                <w:bCs/>
                <w:sz w:val="22"/>
              </w:rPr>
              <w:t>Purpose/Details</w:t>
            </w:r>
          </w:p>
        </w:tc>
      </w:tr>
      <w:tr w:rsidR="002B499D" w:rsidRPr="006F24AA" w14:paraId="41C11F84" w14:textId="77777777" w:rsidTr="002B499D">
        <w:trPr>
          <w:trHeight w:val="20"/>
          <w:jc w:val="center"/>
        </w:trPr>
        <w:tc>
          <w:tcPr>
            <w:tcW w:w="4405" w:type="dxa"/>
            <w:tcBorders>
              <w:top w:val="single" w:sz="4" w:space="0" w:color="auto"/>
              <w:left w:val="single" w:sz="4" w:space="0" w:color="auto"/>
              <w:bottom w:val="single" w:sz="4" w:space="0" w:color="auto"/>
              <w:right w:val="single" w:sz="4" w:space="0" w:color="auto"/>
            </w:tcBorders>
            <w:vAlign w:val="center"/>
          </w:tcPr>
          <w:p w14:paraId="4FCD03DE" w14:textId="77777777" w:rsidR="002B499D" w:rsidRPr="002B499D" w:rsidRDefault="002B499D" w:rsidP="00D40342">
            <w:pPr>
              <w:rPr>
                <w:rStyle w:val="Hyperlink"/>
                <w:color w:val="auto"/>
                <w:u w:val="none"/>
              </w:rPr>
            </w:pPr>
            <w:hyperlink r:id="rId19" w:history="1">
              <w:r w:rsidRPr="002B499D">
                <w:rPr>
                  <w:rStyle w:val="Hyperlink"/>
                  <w:rFonts w:asciiTheme="minorHAnsi" w:hAnsiTheme="minorHAnsi" w:cstheme="minorHAnsi"/>
                  <w:sz w:val="22"/>
                  <w:szCs w:val="22"/>
                  <w:u w:val="none"/>
                </w:rPr>
                <w:t>Cancellation of Classes or Clinical Experiences</w:t>
              </w:r>
            </w:hyperlink>
          </w:p>
        </w:tc>
        <w:tc>
          <w:tcPr>
            <w:tcW w:w="1170" w:type="dxa"/>
            <w:tcBorders>
              <w:top w:val="single" w:sz="4" w:space="0" w:color="auto"/>
              <w:left w:val="single" w:sz="4" w:space="0" w:color="auto"/>
              <w:bottom w:val="single" w:sz="4" w:space="0" w:color="auto"/>
              <w:right w:val="single" w:sz="4" w:space="0" w:color="auto"/>
            </w:tcBorders>
            <w:vAlign w:val="center"/>
          </w:tcPr>
          <w:p w14:paraId="071A2E4C" w14:textId="77777777" w:rsidR="002B499D" w:rsidRPr="00A932A5" w:rsidRDefault="002B499D" w:rsidP="00D40342">
            <w:pPr>
              <w:rPr>
                <w:rFonts w:asciiTheme="minorHAnsi" w:hAnsiTheme="minorHAnsi" w:cstheme="minorHAnsi"/>
                <w:sz w:val="22"/>
                <w:szCs w:val="22"/>
              </w:rPr>
            </w:pPr>
            <w:r>
              <w:rPr>
                <w:rFonts w:asciiTheme="minorHAnsi" w:hAnsiTheme="minorHAnsi" w:cstheme="minorHAnsi"/>
                <w:sz w:val="22"/>
                <w:szCs w:val="22"/>
              </w:rPr>
              <w:t>1204</w:t>
            </w:r>
          </w:p>
        </w:tc>
        <w:tc>
          <w:tcPr>
            <w:tcW w:w="5200" w:type="dxa"/>
            <w:tcBorders>
              <w:top w:val="single" w:sz="4" w:space="0" w:color="auto"/>
              <w:left w:val="single" w:sz="4" w:space="0" w:color="auto"/>
              <w:bottom w:val="single" w:sz="4" w:space="0" w:color="auto"/>
              <w:right w:val="single" w:sz="4" w:space="0" w:color="auto"/>
            </w:tcBorders>
            <w:vAlign w:val="center"/>
          </w:tcPr>
          <w:p w14:paraId="126EDA80" w14:textId="77777777" w:rsidR="002B499D" w:rsidRPr="002B499D" w:rsidRDefault="002B499D" w:rsidP="00D40342">
            <w:pPr>
              <w:rPr>
                <w:rFonts w:asciiTheme="minorHAnsi" w:eastAsia="Calibri" w:hAnsiTheme="minorHAnsi" w:cstheme="minorHAnsi"/>
                <w:color w:val="444444"/>
                <w:sz w:val="22"/>
                <w:szCs w:val="22"/>
              </w:rPr>
            </w:pPr>
            <w:r w:rsidRPr="002B499D">
              <w:rPr>
                <w:rFonts w:asciiTheme="minorHAnsi" w:eastAsia="Calibri" w:hAnsiTheme="minorHAnsi" w:cstheme="minorHAnsi"/>
                <w:color w:val="444444"/>
                <w:sz w:val="22"/>
                <w:szCs w:val="22"/>
              </w:rPr>
              <w:t>Provides guidelines for all campuses for class cancellation, arranging make-up of classes or clinical experiences during inclement weather.</w:t>
            </w:r>
          </w:p>
        </w:tc>
      </w:tr>
      <w:tr w:rsidR="00B4260B" w:rsidRPr="00A932A5" w14:paraId="192C6AB8" w14:textId="77777777" w:rsidTr="00E71088">
        <w:trPr>
          <w:trHeight w:val="20"/>
          <w:jc w:val="center"/>
        </w:trPr>
        <w:tc>
          <w:tcPr>
            <w:tcW w:w="4405" w:type="dxa"/>
            <w:vAlign w:val="center"/>
            <w:hideMark/>
          </w:tcPr>
          <w:p w14:paraId="2D2F5924" w14:textId="77777777" w:rsidR="00B4260B" w:rsidRPr="00A932A5" w:rsidRDefault="00B4260B" w:rsidP="00B4260B">
            <w:pPr>
              <w:rPr>
                <w:rStyle w:val="Hyperlink"/>
                <w:rFonts w:asciiTheme="minorHAnsi" w:hAnsiTheme="minorHAnsi" w:cstheme="minorHAnsi"/>
                <w:sz w:val="22"/>
                <w:szCs w:val="22"/>
                <w:u w:val="none"/>
              </w:rPr>
            </w:pPr>
            <w:hyperlink r:id="rId20" w:tooltip="CON Attendance" w:history="1">
              <w:r w:rsidRPr="00A932A5">
                <w:rPr>
                  <w:rStyle w:val="Hyperlink"/>
                  <w:rFonts w:asciiTheme="minorHAnsi" w:hAnsiTheme="minorHAnsi" w:cstheme="minorHAnsi"/>
                  <w:sz w:val="22"/>
                  <w:szCs w:val="22"/>
                  <w:u w:val="none"/>
                </w:rPr>
                <w:t>Attendance</w:t>
              </w:r>
            </w:hyperlink>
          </w:p>
        </w:tc>
        <w:tc>
          <w:tcPr>
            <w:tcW w:w="1170" w:type="dxa"/>
            <w:vAlign w:val="center"/>
            <w:hideMark/>
          </w:tcPr>
          <w:p w14:paraId="0C7B987E" w14:textId="2B591A65" w:rsidR="00B4260B" w:rsidRPr="00A932A5" w:rsidRDefault="00B4260B" w:rsidP="00B4260B">
            <w:pPr>
              <w:rPr>
                <w:rFonts w:asciiTheme="minorHAnsi" w:hAnsiTheme="minorHAnsi" w:cstheme="minorHAnsi"/>
                <w:sz w:val="22"/>
                <w:szCs w:val="22"/>
              </w:rPr>
            </w:pPr>
            <w:r w:rsidRPr="00A932A5">
              <w:rPr>
                <w:rFonts w:asciiTheme="minorHAnsi" w:hAnsiTheme="minorHAnsi" w:cstheme="minorHAnsi"/>
                <w:sz w:val="22"/>
                <w:szCs w:val="22"/>
              </w:rPr>
              <w:t>2101</w:t>
            </w:r>
          </w:p>
        </w:tc>
        <w:tc>
          <w:tcPr>
            <w:tcW w:w="5200" w:type="dxa"/>
            <w:vAlign w:val="center"/>
            <w:hideMark/>
          </w:tcPr>
          <w:p w14:paraId="7C95C827" w14:textId="77777777" w:rsidR="00B4260B" w:rsidRPr="00A932A5" w:rsidRDefault="00B4260B" w:rsidP="00B4260B">
            <w:pPr>
              <w:rPr>
                <w:rFonts w:asciiTheme="minorHAnsi" w:eastAsia="Calibri" w:hAnsiTheme="minorHAnsi" w:cstheme="minorHAnsi"/>
                <w:color w:val="444444"/>
                <w:sz w:val="22"/>
                <w:szCs w:val="22"/>
              </w:rPr>
            </w:pPr>
            <w:proofErr w:type="gramStart"/>
            <w:r w:rsidRPr="00A932A5">
              <w:rPr>
                <w:rFonts w:asciiTheme="minorHAnsi" w:eastAsia="Calibri" w:hAnsiTheme="minorHAnsi" w:cstheme="minorHAnsi"/>
                <w:color w:val="444444"/>
                <w:sz w:val="22"/>
                <w:szCs w:val="22"/>
              </w:rPr>
              <w:t>Establishes</w:t>
            </w:r>
            <w:proofErr w:type="gramEnd"/>
            <w:r w:rsidRPr="00A932A5">
              <w:rPr>
                <w:rFonts w:asciiTheme="minorHAnsi" w:eastAsia="Calibri" w:hAnsiTheme="minorHAnsi" w:cstheme="minorHAnsi"/>
                <w:color w:val="444444"/>
                <w:sz w:val="22"/>
                <w:szCs w:val="22"/>
              </w:rPr>
              <w:t xml:space="preserve"> guidelines for class attendance.</w:t>
            </w:r>
          </w:p>
        </w:tc>
      </w:tr>
      <w:tr w:rsidR="00B4260B" w:rsidRPr="00A932A5" w14:paraId="43B4D406" w14:textId="77777777" w:rsidTr="00E71088">
        <w:trPr>
          <w:trHeight w:val="20"/>
          <w:jc w:val="center"/>
        </w:trPr>
        <w:tc>
          <w:tcPr>
            <w:tcW w:w="4405" w:type="dxa"/>
            <w:vAlign w:val="center"/>
            <w:hideMark/>
          </w:tcPr>
          <w:p w14:paraId="5806D3B5" w14:textId="02FA5AF0" w:rsidR="00B4260B" w:rsidRPr="00A932A5" w:rsidRDefault="00B4260B" w:rsidP="00B4260B">
            <w:pPr>
              <w:rPr>
                <w:rStyle w:val="Hyperlink"/>
                <w:rFonts w:asciiTheme="minorHAnsi" w:hAnsiTheme="minorHAnsi" w:cstheme="minorHAnsi"/>
                <w:sz w:val="22"/>
                <w:szCs w:val="22"/>
                <w:u w:val="none"/>
              </w:rPr>
            </w:pPr>
            <w:hyperlink r:id="rId21" w:tooltip="CON Student Responsibility to Provide Information Policy" w:history="1">
              <w:r w:rsidRPr="00A932A5">
                <w:rPr>
                  <w:rStyle w:val="Hyperlink"/>
                  <w:rFonts w:asciiTheme="minorHAnsi" w:hAnsiTheme="minorHAnsi" w:cstheme="minorHAnsi"/>
                  <w:sz w:val="22"/>
                  <w:szCs w:val="22"/>
                  <w:u w:val="none"/>
                </w:rPr>
                <w:t xml:space="preserve">Student Responsibility to Provide Information </w:t>
              </w:r>
            </w:hyperlink>
          </w:p>
        </w:tc>
        <w:tc>
          <w:tcPr>
            <w:tcW w:w="1170" w:type="dxa"/>
            <w:vAlign w:val="center"/>
            <w:hideMark/>
          </w:tcPr>
          <w:p w14:paraId="18F4AFCE" w14:textId="4FB92D29" w:rsidR="00B4260B" w:rsidRPr="00A932A5" w:rsidRDefault="00B4260B" w:rsidP="00B4260B">
            <w:pPr>
              <w:rPr>
                <w:rFonts w:asciiTheme="minorHAnsi" w:hAnsiTheme="minorHAnsi" w:cstheme="minorHAnsi"/>
                <w:sz w:val="22"/>
                <w:szCs w:val="22"/>
              </w:rPr>
            </w:pPr>
            <w:r w:rsidRPr="00A932A5">
              <w:rPr>
                <w:rFonts w:asciiTheme="minorHAnsi" w:hAnsiTheme="minorHAnsi" w:cstheme="minorHAnsi"/>
                <w:sz w:val="22"/>
                <w:szCs w:val="22"/>
              </w:rPr>
              <w:t>2102</w:t>
            </w:r>
          </w:p>
        </w:tc>
        <w:tc>
          <w:tcPr>
            <w:tcW w:w="5200" w:type="dxa"/>
            <w:vAlign w:val="center"/>
            <w:hideMark/>
          </w:tcPr>
          <w:p w14:paraId="7E093EA2" w14:textId="77777777" w:rsidR="00B4260B" w:rsidRPr="00A932A5" w:rsidRDefault="00B4260B" w:rsidP="00B4260B">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 xml:space="preserve">Establishes guidelines regarding the responsibility </w:t>
            </w:r>
            <w:proofErr w:type="gramStart"/>
            <w:r w:rsidRPr="00A932A5">
              <w:rPr>
                <w:rFonts w:asciiTheme="minorHAnsi" w:eastAsia="Calibri" w:hAnsiTheme="minorHAnsi" w:cstheme="minorHAnsi"/>
                <w:color w:val="444444"/>
                <w:sz w:val="22"/>
                <w:szCs w:val="22"/>
              </w:rPr>
              <w:t>to inform</w:t>
            </w:r>
            <w:proofErr w:type="gramEnd"/>
            <w:r w:rsidRPr="00A932A5">
              <w:rPr>
                <w:rFonts w:asciiTheme="minorHAnsi" w:eastAsia="Calibri" w:hAnsiTheme="minorHAnsi" w:cstheme="minorHAnsi"/>
                <w:color w:val="444444"/>
                <w:sz w:val="22"/>
                <w:szCs w:val="22"/>
              </w:rPr>
              <w:t xml:space="preserve"> the College of Nursing of changes in status in a timely manner.</w:t>
            </w:r>
          </w:p>
        </w:tc>
      </w:tr>
      <w:tr w:rsidR="00396525" w:rsidRPr="00A932A5" w14:paraId="3307FFC0" w14:textId="77777777" w:rsidTr="00E71088">
        <w:trPr>
          <w:trHeight w:val="20"/>
          <w:jc w:val="center"/>
        </w:trPr>
        <w:tc>
          <w:tcPr>
            <w:tcW w:w="4405" w:type="dxa"/>
            <w:vAlign w:val="center"/>
          </w:tcPr>
          <w:p w14:paraId="68EE636D" w14:textId="76FF8086" w:rsidR="00396525" w:rsidRPr="00A932A5" w:rsidRDefault="00A42DAC" w:rsidP="00D219AA">
            <w:pPr>
              <w:rPr>
                <w:rFonts w:asciiTheme="minorHAnsi" w:hAnsiTheme="minorHAnsi" w:cstheme="minorHAnsi"/>
                <w:sz w:val="22"/>
                <w:szCs w:val="22"/>
              </w:rPr>
            </w:pPr>
            <w:hyperlink r:id="rId22" w:history="1">
              <w:r w:rsidRPr="00A932A5">
                <w:rPr>
                  <w:rStyle w:val="Hyperlink"/>
                  <w:rFonts w:asciiTheme="minorHAnsi" w:hAnsiTheme="minorHAnsi" w:cstheme="minorHAnsi"/>
                  <w:sz w:val="22"/>
                  <w:szCs w:val="22"/>
                  <w:u w:val="none"/>
                </w:rPr>
                <w:t>Plan of Study Requirements for Undergraduate Nursing Students</w:t>
              </w:r>
            </w:hyperlink>
          </w:p>
        </w:tc>
        <w:tc>
          <w:tcPr>
            <w:tcW w:w="1170" w:type="dxa"/>
            <w:vAlign w:val="center"/>
          </w:tcPr>
          <w:p w14:paraId="1C69288A" w14:textId="2FA6A438" w:rsidR="00396525" w:rsidRPr="00A932A5" w:rsidRDefault="003907CD" w:rsidP="00D219AA">
            <w:pPr>
              <w:rPr>
                <w:rFonts w:asciiTheme="minorHAnsi" w:hAnsiTheme="minorHAnsi" w:cstheme="minorHAnsi"/>
                <w:sz w:val="22"/>
                <w:szCs w:val="22"/>
              </w:rPr>
            </w:pPr>
            <w:r w:rsidRPr="00A932A5">
              <w:rPr>
                <w:rFonts w:asciiTheme="minorHAnsi" w:hAnsiTheme="minorHAnsi" w:cstheme="minorHAnsi"/>
                <w:sz w:val="22"/>
                <w:szCs w:val="22"/>
              </w:rPr>
              <w:t>2103</w:t>
            </w:r>
          </w:p>
        </w:tc>
        <w:tc>
          <w:tcPr>
            <w:tcW w:w="5200" w:type="dxa"/>
            <w:vAlign w:val="center"/>
          </w:tcPr>
          <w:p w14:paraId="0944E4BE" w14:textId="1486F85A" w:rsidR="00396525" w:rsidRPr="00A932A5" w:rsidRDefault="00CC1D11" w:rsidP="00D219AA">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Establishes the requirement for students to follow a plan of study.</w:t>
            </w:r>
          </w:p>
        </w:tc>
      </w:tr>
      <w:tr w:rsidR="00D219AA" w:rsidRPr="00A932A5" w14:paraId="6561056D" w14:textId="77777777" w:rsidTr="00E71088">
        <w:trPr>
          <w:trHeight w:val="20"/>
          <w:jc w:val="center"/>
        </w:trPr>
        <w:tc>
          <w:tcPr>
            <w:tcW w:w="4405" w:type="dxa"/>
            <w:vAlign w:val="center"/>
            <w:hideMark/>
          </w:tcPr>
          <w:p w14:paraId="0CFE6145" w14:textId="77777777" w:rsidR="00D219AA" w:rsidRPr="00A932A5" w:rsidRDefault="00D219AA" w:rsidP="00D219AA">
            <w:pPr>
              <w:rPr>
                <w:rStyle w:val="Hyperlink"/>
                <w:rFonts w:asciiTheme="minorHAnsi" w:hAnsiTheme="minorHAnsi" w:cstheme="minorHAnsi"/>
                <w:sz w:val="22"/>
                <w:szCs w:val="22"/>
                <w:u w:val="none"/>
              </w:rPr>
            </w:pPr>
            <w:hyperlink r:id="rId23" w:tooltip="CON Course Enrollment" w:history="1">
              <w:r w:rsidRPr="00A932A5">
                <w:rPr>
                  <w:rStyle w:val="Hyperlink"/>
                  <w:rFonts w:asciiTheme="minorHAnsi" w:hAnsiTheme="minorHAnsi" w:cstheme="minorHAnsi"/>
                  <w:sz w:val="22"/>
                  <w:szCs w:val="22"/>
                  <w:u w:val="none"/>
                </w:rPr>
                <w:t>Course Enrollment</w:t>
              </w:r>
            </w:hyperlink>
          </w:p>
        </w:tc>
        <w:tc>
          <w:tcPr>
            <w:tcW w:w="1170" w:type="dxa"/>
            <w:vAlign w:val="center"/>
            <w:hideMark/>
          </w:tcPr>
          <w:p w14:paraId="15E63CFB" w14:textId="2B67E744" w:rsidR="00D219AA" w:rsidRPr="00A932A5" w:rsidRDefault="003907CD" w:rsidP="00D219AA">
            <w:pPr>
              <w:rPr>
                <w:rFonts w:asciiTheme="minorHAnsi" w:hAnsiTheme="minorHAnsi" w:cstheme="minorHAnsi"/>
                <w:sz w:val="22"/>
                <w:szCs w:val="22"/>
              </w:rPr>
            </w:pPr>
            <w:r w:rsidRPr="00A932A5">
              <w:rPr>
                <w:rFonts w:asciiTheme="minorHAnsi" w:hAnsiTheme="minorHAnsi" w:cstheme="minorHAnsi"/>
                <w:sz w:val="22"/>
                <w:szCs w:val="22"/>
              </w:rPr>
              <w:t>2104</w:t>
            </w:r>
          </w:p>
        </w:tc>
        <w:tc>
          <w:tcPr>
            <w:tcW w:w="5200" w:type="dxa"/>
            <w:vAlign w:val="center"/>
            <w:hideMark/>
          </w:tcPr>
          <w:p w14:paraId="3CBE2367" w14:textId="77777777" w:rsidR="00D219AA" w:rsidRPr="00A932A5" w:rsidRDefault="00D219AA" w:rsidP="00D219AA">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Establishes minimum enrollment in courses and determines decision makers for enrollment issues.</w:t>
            </w:r>
          </w:p>
        </w:tc>
      </w:tr>
      <w:tr w:rsidR="00D219AA" w:rsidRPr="00A932A5" w14:paraId="0E3A1F0B" w14:textId="77777777" w:rsidTr="00E71088">
        <w:trPr>
          <w:trHeight w:val="20"/>
          <w:jc w:val="center"/>
        </w:trPr>
        <w:tc>
          <w:tcPr>
            <w:tcW w:w="4405" w:type="dxa"/>
            <w:vAlign w:val="center"/>
            <w:hideMark/>
          </w:tcPr>
          <w:p w14:paraId="561A0CB9" w14:textId="77777777" w:rsidR="00D219AA" w:rsidRPr="00A932A5" w:rsidRDefault="00D219AA" w:rsidP="00D219AA">
            <w:pPr>
              <w:rPr>
                <w:rStyle w:val="Hyperlink"/>
                <w:rFonts w:asciiTheme="minorHAnsi" w:hAnsiTheme="minorHAnsi" w:cstheme="minorHAnsi"/>
                <w:sz w:val="22"/>
                <w:szCs w:val="22"/>
                <w:u w:val="none"/>
              </w:rPr>
            </w:pPr>
            <w:hyperlink r:id="rId24" w:tooltip="CON Student Ratings of Instruction" w:history="1">
              <w:r w:rsidRPr="00A932A5">
                <w:rPr>
                  <w:rStyle w:val="Hyperlink"/>
                  <w:rFonts w:asciiTheme="minorHAnsi" w:hAnsiTheme="minorHAnsi" w:cstheme="minorHAnsi"/>
                  <w:sz w:val="22"/>
                  <w:szCs w:val="22"/>
                  <w:u w:val="none"/>
                </w:rPr>
                <w:t>Student Ratings of Instruction</w:t>
              </w:r>
            </w:hyperlink>
          </w:p>
        </w:tc>
        <w:tc>
          <w:tcPr>
            <w:tcW w:w="1170" w:type="dxa"/>
            <w:vAlign w:val="center"/>
            <w:hideMark/>
          </w:tcPr>
          <w:p w14:paraId="40670526" w14:textId="77E91535" w:rsidR="00D219AA" w:rsidRPr="00A932A5" w:rsidRDefault="00813C39" w:rsidP="00D219AA">
            <w:pPr>
              <w:rPr>
                <w:rFonts w:asciiTheme="minorHAnsi" w:hAnsiTheme="minorHAnsi" w:cstheme="minorHAnsi"/>
                <w:sz w:val="22"/>
                <w:szCs w:val="22"/>
              </w:rPr>
            </w:pPr>
            <w:r w:rsidRPr="00A932A5">
              <w:rPr>
                <w:rFonts w:asciiTheme="minorHAnsi" w:hAnsiTheme="minorHAnsi" w:cstheme="minorHAnsi"/>
                <w:sz w:val="22"/>
                <w:szCs w:val="22"/>
              </w:rPr>
              <w:t>2105</w:t>
            </w:r>
          </w:p>
        </w:tc>
        <w:tc>
          <w:tcPr>
            <w:tcW w:w="5200" w:type="dxa"/>
            <w:vAlign w:val="center"/>
            <w:hideMark/>
          </w:tcPr>
          <w:p w14:paraId="4B3D6AE1" w14:textId="0C4A7900" w:rsidR="00D219AA" w:rsidRPr="00A932A5" w:rsidRDefault="00D219AA" w:rsidP="00D219AA">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 xml:space="preserve">Provides </w:t>
            </w:r>
            <w:r w:rsidR="00922780" w:rsidRPr="00A932A5">
              <w:rPr>
                <w:rFonts w:asciiTheme="minorHAnsi" w:eastAsia="Calibri" w:hAnsiTheme="minorHAnsi" w:cstheme="minorHAnsi"/>
                <w:color w:val="444444"/>
                <w:sz w:val="22"/>
                <w:szCs w:val="22"/>
              </w:rPr>
              <w:t xml:space="preserve">students </w:t>
            </w:r>
            <w:r w:rsidR="00853219" w:rsidRPr="00A932A5">
              <w:rPr>
                <w:rFonts w:asciiTheme="minorHAnsi" w:eastAsia="Calibri" w:hAnsiTheme="minorHAnsi" w:cstheme="minorHAnsi"/>
                <w:color w:val="444444"/>
                <w:sz w:val="22"/>
                <w:szCs w:val="22"/>
              </w:rPr>
              <w:t>an opportunity to have an impact on the quality of courses and instruction</w:t>
            </w:r>
            <w:r w:rsidRPr="00A932A5">
              <w:rPr>
                <w:rFonts w:asciiTheme="minorHAnsi" w:eastAsia="Calibri" w:hAnsiTheme="minorHAnsi" w:cstheme="minorHAnsi"/>
                <w:color w:val="444444"/>
                <w:sz w:val="22"/>
                <w:szCs w:val="22"/>
              </w:rPr>
              <w:t>.</w:t>
            </w:r>
          </w:p>
        </w:tc>
      </w:tr>
      <w:tr w:rsidR="00255837" w:rsidRPr="00A932A5" w14:paraId="34AD8836" w14:textId="77777777" w:rsidTr="00255837">
        <w:trPr>
          <w:trHeight w:val="20"/>
          <w:jc w:val="center"/>
        </w:trPr>
        <w:tc>
          <w:tcPr>
            <w:tcW w:w="4405" w:type="dxa"/>
            <w:tcBorders>
              <w:top w:val="single" w:sz="4" w:space="0" w:color="auto"/>
              <w:left w:val="single" w:sz="4" w:space="0" w:color="auto"/>
              <w:bottom w:val="single" w:sz="4" w:space="0" w:color="auto"/>
              <w:right w:val="single" w:sz="4" w:space="0" w:color="auto"/>
            </w:tcBorders>
            <w:vAlign w:val="center"/>
          </w:tcPr>
          <w:p w14:paraId="50DA2EDC" w14:textId="77777777" w:rsidR="00255837" w:rsidRPr="00A932A5" w:rsidRDefault="00255837">
            <w:pPr>
              <w:rPr>
                <w:rStyle w:val="Hyperlink"/>
                <w:rFonts w:asciiTheme="minorHAnsi" w:hAnsiTheme="minorHAnsi" w:cstheme="minorHAnsi"/>
                <w:color w:val="auto"/>
                <w:sz w:val="22"/>
                <w:szCs w:val="22"/>
                <w:u w:val="none"/>
              </w:rPr>
            </w:pPr>
            <w:hyperlink r:id="rId25" w:history="1">
              <w:r w:rsidRPr="00A932A5">
                <w:rPr>
                  <w:rStyle w:val="Hyperlink"/>
                  <w:rFonts w:asciiTheme="minorHAnsi" w:hAnsiTheme="minorHAnsi" w:cstheme="minorHAnsi"/>
                  <w:sz w:val="22"/>
                  <w:szCs w:val="22"/>
                  <w:u w:val="none"/>
                </w:rPr>
                <w:t xml:space="preserve">Undergraduate Grade of Incomplete </w:t>
              </w:r>
            </w:hyperlink>
          </w:p>
        </w:tc>
        <w:tc>
          <w:tcPr>
            <w:tcW w:w="1170" w:type="dxa"/>
            <w:tcBorders>
              <w:top w:val="single" w:sz="4" w:space="0" w:color="auto"/>
              <w:left w:val="single" w:sz="4" w:space="0" w:color="auto"/>
              <w:bottom w:val="single" w:sz="4" w:space="0" w:color="auto"/>
              <w:right w:val="single" w:sz="4" w:space="0" w:color="auto"/>
            </w:tcBorders>
            <w:vAlign w:val="center"/>
          </w:tcPr>
          <w:p w14:paraId="5D44837D" w14:textId="1B81146D" w:rsidR="00255837" w:rsidRPr="00A932A5" w:rsidRDefault="00813C39">
            <w:pPr>
              <w:rPr>
                <w:rFonts w:asciiTheme="minorHAnsi" w:eastAsiaTheme="minorEastAsia" w:hAnsiTheme="minorHAnsi" w:cstheme="minorHAnsi"/>
                <w:sz w:val="22"/>
                <w:szCs w:val="22"/>
              </w:rPr>
            </w:pPr>
            <w:r w:rsidRPr="00A932A5">
              <w:rPr>
                <w:rFonts w:asciiTheme="minorHAnsi" w:eastAsiaTheme="minorEastAsia" w:hAnsiTheme="minorHAnsi" w:cstheme="minorHAnsi"/>
                <w:sz w:val="22"/>
                <w:szCs w:val="22"/>
              </w:rPr>
              <w:t>2106</w:t>
            </w:r>
          </w:p>
        </w:tc>
        <w:tc>
          <w:tcPr>
            <w:tcW w:w="5200" w:type="dxa"/>
            <w:tcBorders>
              <w:top w:val="single" w:sz="4" w:space="0" w:color="auto"/>
              <w:left w:val="single" w:sz="4" w:space="0" w:color="auto"/>
              <w:bottom w:val="single" w:sz="4" w:space="0" w:color="auto"/>
              <w:right w:val="single" w:sz="4" w:space="0" w:color="auto"/>
            </w:tcBorders>
            <w:vAlign w:val="center"/>
          </w:tcPr>
          <w:p w14:paraId="28753CE3" w14:textId="77777777" w:rsidR="00255837" w:rsidRPr="00A932A5" w:rsidRDefault="00255837">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Establishes the circumstances under which a student may receive an incomplete grade for a course.</w:t>
            </w:r>
          </w:p>
        </w:tc>
      </w:tr>
      <w:tr w:rsidR="00340898" w:rsidRPr="00A932A5" w14:paraId="24B774B6" w14:textId="77777777" w:rsidTr="00E71088">
        <w:trPr>
          <w:trHeight w:val="20"/>
          <w:jc w:val="center"/>
        </w:trPr>
        <w:tc>
          <w:tcPr>
            <w:tcW w:w="4405" w:type="dxa"/>
            <w:vAlign w:val="center"/>
          </w:tcPr>
          <w:p w14:paraId="5F49C1B1" w14:textId="7454FDD8" w:rsidR="00340898" w:rsidRPr="00A932A5" w:rsidRDefault="00FE0337" w:rsidP="00D219AA">
            <w:pPr>
              <w:rPr>
                <w:rStyle w:val="Hyperlink"/>
                <w:rFonts w:asciiTheme="minorHAnsi" w:hAnsiTheme="minorHAnsi" w:cstheme="minorHAnsi"/>
                <w:sz w:val="22"/>
                <w:szCs w:val="22"/>
                <w:u w:val="none"/>
              </w:rPr>
            </w:pPr>
            <w:hyperlink r:id="rId26" w:history="1">
              <w:r w:rsidRPr="00A932A5">
                <w:rPr>
                  <w:rStyle w:val="Hyperlink"/>
                  <w:rFonts w:asciiTheme="minorHAnsi" w:hAnsiTheme="minorHAnsi" w:cstheme="minorHAnsi"/>
                  <w:sz w:val="22"/>
                  <w:szCs w:val="22"/>
                  <w:u w:val="none"/>
                </w:rPr>
                <w:t>International Nursing Student Exchange</w:t>
              </w:r>
            </w:hyperlink>
          </w:p>
        </w:tc>
        <w:tc>
          <w:tcPr>
            <w:tcW w:w="1170" w:type="dxa"/>
            <w:vAlign w:val="center"/>
          </w:tcPr>
          <w:p w14:paraId="2B988BD4" w14:textId="1D4DD4FC" w:rsidR="00340898" w:rsidRPr="00A932A5" w:rsidRDefault="00813C39" w:rsidP="00D219AA">
            <w:pPr>
              <w:rPr>
                <w:rFonts w:asciiTheme="minorHAnsi" w:eastAsiaTheme="minorEastAsia" w:hAnsiTheme="minorHAnsi" w:cstheme="minorHAnsi"/>
                <w:sz w:val="22"/>
                <w:szCs w:val="22"/>
              </w:rPr>
            </w:pPr>
            <w:r w:rsidRPr="00A932A5">
              <w:rPr>
                <w:rFonts w:asciiTheme="minorHAnsi" w:eastAsiaTheme="minorEastAsia" w:hAnsiTheme="minorHAnsi" w:cstheme="minorHAnsi"/>
                <w:sz w:val="22"/>
                <w:szCs w:val="22"/>
              </w:rPr>
              <w:t>2107</w:t>
            </w:r>
          </w:p>
        </w:tc>
        <w:tc>
          <w:tcPr>
            <w:tcW w:w="5200" w:type="dxa"/>
            <w:vAlign w:val="center"/>
          </w:tcPr>
          <w:p w14:paraId="16390668" w14:textId="5485A50C" w:rsidR="00340898" w:rsidRPr="00A932A5" w:rsidRDefault="00B27E2D" w:rsidP="00D219AA">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 xml:space="preserve">Guides </w:t>
            </w:r>
            <w:proofErr w:type="gramStart"/>
            <w:r w:rsidRPr="00A932A5">
              <w:rPr>
                <w:rFonts w:asciiTheme="minorHAnsi" w:eastAsia="Calibri" w:hAnsiTheme="minorHAnsi" w:cstheme="minorHAnsi"/>
                <w:color w:val="444444"/>
                <w:sz w:val="22"/>
                <w:szCs w:val="22"/>
              </w:rPr>
              <w:t>visits</w:t>
            </w:r>
            <w:proofErr w:type="gramEnd"/>
            <w:r w:rsidRPr="00A932A5">
              <w:rPr>
                <w:rFonts w:asciiTheme="minorHAnsi" w:eastAsia="Calibri" w:hAnsiTheme="minorHAnsi" w:cstheme="minorHAnsi"/>
                <w:color w:val="444444"/>
                <w:sz w:val="22"/>
                <w:szCs w:val="22"/>
              </w:rPr>
              <w:t xml:space="preserve"> during a formal educational exchange program, either graduate or undergraduate, for international students visiting the University of Nebraska Medical Center College of Nursing.</w:t>
            </w:r>
          </w:p>
        </w:tc>
      </w:tr>
      <w:tr w:rsidR="00D219AA" w:rsidRPr="00A932A5" w14:paraId="2E3F8DFC" w14:textId="77777777" w:rsidTr="00E71088">
        <w:trPr>
          <w:trHeight w:val="20"/>
          <w:jc w:val="center"/>
        </w:trPr>
        <w:tc>
          <w:tcPr>
            <w:tcW w:w="4405" w:type="dxa"/>
            <w:vAlign w:val="center"/>
          </w:tcPr>
          <w:p w14:paraId="66C5B2A6" w14:textId="4774FF98" w:rsidR="00D219AA" w:rsidRPr="00A932A5" w:rsidRDefault="00D219AA" w:rsidP="00D219AA">
            <w:pPr>
              <w:rPr>
                <w:rStyle w:val="Hyperlink"/>
                <w:rFonts w:asciiTheme="minorHAnsi" w:hAnsiTheme="minorHAnsi" w:cstheme="minorHAnsi"/>
                <w:sz w:val="22"/>
                <w:szCs w:val="22"/>
                <w:u w:val="none"/>
              </w:rPr>
            </w:pPr>
            <w:hyperlink r:id="rId27" w:history="1">
              <w:r w:rsidRPr="00A932A5">
                <w:rPr>
                  <w:rStyle w:val="Hyperlink"/>
                  <w:rFonts w:asciiTheme="minorHAnsi" w:hAnsiTheme="minorHAnsi" w:cstheme="minorHAnsi"/>
                  <w:sz w:val="22"/>
                  <w:szCs w:val="22"/>
                  <w:u w:val="none"/>
                </w:rPr>
                <w:t xml:space="preserve">Proctors for </w:t>
              </w:r>
              <w:r w:rsidR="00325FCB" w:rsidRPr="00A932A5">
                <w:rPr>
                  <w:rStyle w:val="Hyperlink"/>
                  <w:rFonts w:asciiTheme="minorHAnsi" w:hAnsiTheme="minorHAnsi" w:cstheme="minorHAnsi"/>
                  <w:sz w:val="22"/>
                  <w:szCs w:val="22"/>
                  <w:u w:val="none"/>
                </w:rPr>
                <w:t>Off Campus Testing</w:t>
              </w:r>
            </w:hyperlink>
          </w:p>
        </w:tc>
        <w:tc>
          <w:tcPr>
            <w:tcW w:w="1170" w:type="dxa"/>
            <w:vAlign w:val="center"/>
          </w:tcPr>
          <w:p w14:paraId="49637959" w14:textId="3F849346" w:rsidR="00D219AA" w:rsidRPr="00A932A5" w:rsidRDefault="00813C39" w:rsidP="00D219AA">
            <w:pPr>
              <w:rPr>
                <w:rFonts w:asciiTheme="minorHAnsi" w:hAnsiTheme="minorHAnsi" w:cstheme="minorHAnsi"/>
                <w:sz w:val="22"/>
                <w:szCs w:val="22"/>
              </w:rPr>
            </w:pPr>
            <w:r w:rsidRPr="00A932A5">
              <w:rPr>
                <w:rFonts w:asciiTheme="minorHAnsi" w:eastAsiaTheme="minorEastAsia" w:hAnsiTheme="minorHAnsi" w:cstheme="minorHAnsi"/>
                <w:sz w:val="22"/>
                <w:szCs w:val="22"/>
              </w:rPr>
              <w:t>2108</w:t>
            </w:r>
          </w:p>
        </w:tc>
        <w:tc>
          <w:tcPr>
            <w:tcW w:w="5200" w:type="dxa"/>
            <w:vAlign w:val="center"/>
          </w:tcPr>
          <w:p w14:paraId="08332C85" w14:textId="77777777" w:rsidR="00D219AA" w:rsidRPr="00A932A5" w:rsidRDefault="00D219AA" w:rsidP="00D219AA">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Provides guidelines for using proctors for off-campus examinations.</w:t>
            </w:r>
          </w:p>
        </w:tc>
      </w:tr>
      <w:tr w:rsidR="003C1CF5" w:rsidRPr="00A932A5" w14:paraId="14BC2243" w14:textId="77777777" w:rsidTr="003C1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405" w:type="dxa"/>
            <w:tcBorders>
              <w:top w:val="single" w:sz="4" w:space="0" w:color="auto"/>
              <w:left w:val="single" w:sz="4" w:space="0" w:color="auto"/>
              <w:bottom w:val="single" w:sz="4" w:space="0" w:color="auto"/>
              <w:right w:val="single" w:sz="4" w:space="0" w:color="auto"/>
            </w:tcBorders>
            <w:vAlign w:val="center"/>
          </w:tcPr>
          <w:p w14:paraId="2683E208" w14:textId="77777777" w:rsidR="003C1CF5" w:rsidRPr="00407B89" w:rsidRDefault="003C1CF5" w:rsidP="003C1CF5">
            <w:pPr>
              <w:rPr>
                <w:rStyle w:val="Hyperlink"/>
                <w:rFonts w:asciiTheme="minorHAnsi" w:hAnsiTheme="minorHAnsi" w:cstheme="minorHAnsi"/>
                <w:color w:val="auto"/>
                <w:sz w:val="22"/>
                <w:szCs w:val="22"/>
                <w:u w:val="none"/>
              </w:rPr>
            </w:pPr>
            <w:hyperlink r:id="rId28" w:history="1">
              <w:r w:rsidRPr="00407B89">
                <w:rPr>
                  <w:rStyle w:val="Hyperlink"/>
                  <w:rFonts w:asciiTheme="minorHAnsi" w:hAnsiTheme="minorHAnsi" w:cstheme="minorHAnsi"/>
                  <w:sz w:val="22"/>
                  <w:szCs w:val="22"/>
                  <w:u w:val="none"/>
                </w:rPr>
                <w:t>Proctoring Process for Off Campus Examinations</w:t>
              </w:r>
            </w:hyperlink>
          </w:p>
        </w:tc>
        <w:tc>
          <w:tcPr>
            <w:tcW w:w="1170" w:type="dxa"/>
            <w:tcBorders>
              <w:top w:val="single" w:sz="4" w:space="0" w:color="auto"/>
              <w:left w:val="single" w:sz="4" w:space="0" w:color="auto"/>
              <w:bottom w:val="single" w:sz="4" w:space="0" w:color="auto"/>
              <w:right w:val="single" w:sz="4" w:space="0" w:color="auto"/>
            </w:tcBorders>
            <w:vAlign w:val="center"/>
          </w:tcPr>
          <w:p w14:paraId="2C8320FA" w14:textId="77777777" w:rsidR="003C1CF5" w:rsidRPr="00A932A5" w:rsidRDefault="003C1CF5" w:rsidP="003C1CF5">
            <w:pPr>
              <w:rPr>
                <w:rFonts w:asciiTheme="minorHAnsi" w:eastAsiaTheme="minorEastAsia" w:hAnsiTheme="minorHAnsi" w:cstheme="minorHAnsi"/>
                <w:sz w:val="22"/>
                <w:szCs w:val="22"/>
              </w:rPr>
            </w:pPr>
            <w:r w:rsidRPr="00A932A5">
              <w:rPr>
                <w:rFonts w:asciiTheme="minorHAnsi" w:eastAsiaTheme="minorEastAsia" w:hAnsiTheme="minorHAnsi" w:cstheme="minorHAnsi"/>
                <w:sz w:val="22"/>
                <w:szCs w:val="22"/>
              </w:rPr>
              <w:t>2108-PR</w:t>
            </w:r>
          </w:p>
        </w:tc>
        <w:tc>
          <w:tcPr>
            <w:tcW w:w="5200" w:type="dxa"/>
            <w:tcBorders>
              <w:top w:val="single" w:sz="4" w:space="0" w:color="auto"/>
              <w:left w:val="single" w:sz="4" w:space="0" w:color="auto"/>
              <w:bottom w:val="single" w:sz="4" w:space="0" w:color="auto"/>
              <w:right w:val="single" w:sz="4" w:space="0" w:color="auto"/>
            </w:tcBorders>
            <w:vAlign w:val="center"/>
          </w:tcPr>
          <w:p w14:paraId="3D94E904" w14:textId="77777777" w:rsidR="003C1CF5" w:rsidRPr="00A932A5" w:rsidRDefault="003C1CF5" w:rsidP="003C1CF5">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Provides proctoring responsibilities for the course coordinator, student and proctor.</w:t>
            </w:r>
          </w:p>
        </w:tc>
      </w:tr>
      <w:tr w:rsidR="00D219AA" w:rsidRPr="00A932A5" w14:paraId="2B0F4B92" w14:textId="77777777" w:rsidTr="00E71088">
        <w:trPr>
          <w:trHeight w:val="20"/>
          <w:jc w:val="center"/>
        </w:trPr>
        <w:tc>
          <w:tcPr>
            <w:tcW w:w="4405" w:type="dxa"/>
            <w:vAlign w:val="center"/>
            <w:hideMark/>
          </w:tcPr>
          <w:p w14:paraId="5736C1B4" w14:textId="77777777" w:rsidR="00D219AA" w:rsidRPr="00407B89" w:rsidRDefault="00D219AA" w:rsidP="00D219AA">
            <w:pPr>
              <w:rPr>
                <w:rStyle w:val="Hyperlink"/>
                <w:rFonts w:asciiTheme="minorHAnsi" w:hAnsiTheme="minorHAnsi" w:cstheme="minorHAnsi"/>
                <w:sz w:val="22"/>
                <w:szCs w:val="22"/>
                <w:u w:val="none"/>
              </w:rPr>
            </w:pPr>
            <w:hyperlink r:id="rId29" w:tooltip="CON Access to Student Emergency Assistance/Educational/Development Funds" w:history="1">
              <w:r w:rsidRPr="00407B89">
                <w:rPr>
                  <w:rStyle w:val="Hyperlink"/>
                  <w:rFonts w:asciiTheme="minorHAnsi" w:hAnsiTheme="minorHAnsi" w:cstheme="minorHAnsi"/>
                  <w:sz w:val="22"/>
                  <w:szCs w:val="22"/>
                  <w:u w:val="none"/>
                </w:rPr>
                <w:t>Access to Student Emergency Assistance/Educational/Development Funds</w:t>
              </w:r>
            </w:hyperlink>
          </w:p>
        </w:tc>
        <w:tc>
          <w:tcPr>
            <w:tcW w:w="1170" w:type="dxa"/>
            <w:vAlign w:val="center"/>
            <w:hideMark/>
          </w:tcPr>
          <w:p w14:paraId="6AB20954" w14:textId="07C3D0FC" w:rsidR="00D219AA" w:rsidRPr="00A932A5" w:rsidRDefault="00070C54" w:rsidP="00D219AA">
            <w:pPr>
              <w:rPr>
                <w:rFonts w:asciiTheme="minorHAnsi" w:hAnsiTheme="minorHAnsi" w:cstheme="minorHAnsi"/>
                <w:sz w:val="22"/>
                <w:szCs w:val="22"/>
              </w:rPr>
            </w:pPr>
            <w:r w:rsidRPr="00A932A5">
              <w:rPr>
                <w:rFonts w:asciiTheme="minorHAnsi" w:hAnsiTheme="minorHAnsi" w:cstheme="minorHAnsi"/>
                <w:sz w:val="22"/>
                <w:szCs w:val="22"/>
              </w:rPr>
              <w:t>2109</w:t>
            </w:r>
          </w:p>
        </w:tc>
        <w:tc>
          <w:tcPr>
            <w:tcW w:w="5200" w:type="dxa"/>
            <w:vAlign w:val="center"/>
            <w:hideMark/>
          </w:tcPr>
          <w:p w14:paraId="4B1CCDC8" w14:textId="77777777" w:rsidR="00D219AA" w:rsidRPr="00A932A5" w:rsidRDefault="00D219AA" w:rsidP="00D219AA">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Provides emergency funds to students in need of financial assistance.</w:t>
            </w:r>
          </w:p>
        </w:tc>
      </w:tr>
      <w:tr w:rsidR="00D219AA" w:rsidRPr="00A932A5" w14:paraId="0D31E1C1" w14:textId="77777777" w:rsidTr="00E71088">
        <w:trPr>
          <w:trHeight w:val="20"/>
          <w:jc w:val="center"/>
        </w:trPr>
        <w:tc>
          <w:tcPr>
            <w:tcW w:w="4405" w:type="dxa"/>
            <w:vAlign w:val="center"/>
            <w:hideMark/>
          </w:tcPr>
          <w:p w14:paraId="04D2F8AF" w14:textId="603DC82B" w:rsidR="00D219AA" w:rsidRPr="00407B89" w:rsidRDefault="00D219AA" w:rsidP="00D219AA">
            <w:pPr>
              <w:rPr>
                <w:rStyle w:val="Hyperlink"/>
                <w:rFonts w:asciiTheme="minorHAnsi" w:hAnsiTheme="minorHAnsi" w:cstheme="minorBidi"/>
                <w:sz w:val="22"/>
                <w:szCs w:val="22"/>
                <w:u w:val="none"/>
              </w:rPr>
            </w:pPr>
            <w:hyperlink r:id="rId30">
              <w:r w:rsidRPr="00407B89">
                <w:rPr>
                  <w:rStyle w:val="Hyperlink"/>
                  <w:rFonts w:asciiTheme="minorHAnsi" w:hAnsiTheme="minorHAnsi" w:cstheme="minorBidi"/>
                  <w:sz w:val="22"/>
                  <w:szCs w:val="22"/>
                  <w:u w:val="none"/>
                </w:rPr>
                <w:t xml:space="preserve">Background Checks </w:t>
              </w:r>
            </w:hyperlink>
          </w:p>
        </w:tc>
        <w:tc>
          <w:tcPr>
            <w:tcW w:w="1170" w:type="dxa"/>
            <w:vAlign w:val="center"/>
            <w:hideMark/>
          </w:tcPr>
          <w:p w14:paraId="2C9B007B" w14:textId="3F3F2877" w:rsidR="00D219AA" w:rsidRPr="00A932A5" w:rsidRDefault="00070C54" w:rsidP="00D219AA">
            <w:pPr>
              <w:rPr>
                <w:rFonts w:asciiTheme="minorHAnsi" w:hAnsiTheme="minorHAnsi" w:cstheme="minorHAnsi"/>
                <w:sz w:val="22"/>
                <w:szCs w:val="22"/>
              </w:rPr>
            </w:pPr>
            <w:r w:rsidRPr="00A932A5">
              <w:rPr>
                <w:rFonts w:asciiTheme="minorHAnsi" w:hAnsiTheme="minorHAnsi" w:cstheme="minorHAnsi"/>
                <w:sz w:val="22"/>
                <w:szCs w:val="22"/>
              </w:rPr>
              <w:t>2110</w:t>
            </w:r>
          </w:p>
        </w:tc>
        <w:tc>
          <w:tcPr>
            <w:tcW w:w="5200" w:type="dxa"/>
            <w:vAlign w:val="center"/>
            <w:hideMark/>
          </w:tcPr>
          <w:p w14:paraId="516E3D48" w14:textId="691E8D57" w:rsidR="00D219AA" w:rsidRPr="00A932A5" w:rsidRDefault="015435A9" w:rsidP="00D219AA">
            <w:pPr>
              <w:rPr>
                <w:rFonts w:asciiTheme="minorHAnsi" w:eastAsia="Calibri" w:hAnsiTheme="minorHAnsi" w:cstheme="minorBidi"/>
                <w:color w:val="444444"/>
                <w:sz w:val="22"/>
                <w:szCs w:val="22"/>
              </w:rPr>
            </w:pPr>
            <w:r w:rsidRPr="5526DDE8">
              <w:rPr>
                <w:rFonts w:asciiTheme="minorHAnsi" w:eastAsia="Calibri" w:hAnsiTheme="minorHAnsi" w:cstheme="minorBidi"/>
                <w:color w:val="444444"/>
                <w:sz w:val="22"/>
                <w:szCs w:val="22"/>
              </w:rPr>
              <w:t xml:space="preserve">Establishes criteria for requiring background checks on admission and additional and/or repeated background checks depending on program and clinical placement requirements. </w:t>
            </w:r>
          </w:p>
        </w:tc>
      </w:tr>
      <w:tr w:rsidR="00D77176" w:rsidRPr="00A932A5" w14:paraId="6B5E7357" w14:textId="77777777" w:rsidTr="00E71088">
        <w:trPr>
          <w:trHeight w:val="20"/>
          <w:jc w:val="center"/>
        </w:trPr>
        <w:tc>
          <w:tcPr>
            <w:tcW w:w="4405" w:type="dxa"/>
            <w:vAlign w:val="center"/>
          </w:tcPr>
          <w:p w14:paraId="76CB94E5" w14:textId="35EE7417" w:rsidR="00D77176" w:rsidRPr="00407B89" w:rsidRDefault="0069150C" w:rsidP="00D219AA">
            <w:pPr>
              <w:rPr>
                <w:rFonts w:asciiTheme="minorHAnsi" w:hAnsiTheme="minorHAnsi" w:cstheme="minorHAnsi"/>
                <w:sz w:val="22"/>
                <w:szCs w:val="22"/>
              </w:rPr>
            </w:pPr>
            <w:hyperlink r:id="rId31" w:history="1">
              <w:r w:rsidR="00AE4BCC" w:rsidRPr="00407B89">
                <w:rPr>
                  <w:rStyle w:val="Hyperlink"/>
                  <w:rFonts w:asciiTheme="minorHAnsi" w:hAnsiTheme="minorHAnsi" w:cstheme="minorHAnsi"/>
                  <w:sz w:val="22"/>
                  <w:szCs w:val="22"/>
                  <w:u w:val="none"/>
                </w:rPr>
                <w:t>Integrity in Academic Work</w:t>
              </w:r>
            </w:hyperlink>
          </w:p>
        </w:tc>
        <w:tc>
          <w:tcPr>
            <w:tcW w:w="1170" w:type="dxa"/>
            <w:vAlign w:val="center"/>
          </w:tcPr>
          <w:p w14:paraId="7B1C0821" w14:textId="0C136B0C" w:rsidR="00D77176" w:rsidRPr="00A932A5" w:rsidRDefault="00D77176" w:rsidP="00D219AA">
            <w:pPr>
              <w:rPr>
                <w:rFonts w:asciiTheme="minorHAnsi" w:hAnsiTheme="minorHAnsi" w:cstheme="minorHAnsi"/>
                <w:sz w:val="22"/>
                <w:szCs w:val="22"/>
              </w:rPr>
            </w:pPr>
            <w:r w:rsidRPr="00A932A5">
              <w:rPr>
                <w:rFonts w:asciiTheme="minorHAnsi" w:hAnsiTheme="minorHAnsi" w:cstheme="minorHAnsi"/>
                <w:sz w:val="22"/>
                <w:szCs w:val="22"/>
              </w:rPr>
              <w:t>2111</w:t>
            </w:r>
          </w:p>
        </w:tc>
        <w:tc>
          <w:tcPr>
            <w:tcW w:w="5200" w:type="dxa"/>
            <w:vAlign w:val="center"/>
          </w:tcPr>
          <w:p w14:paraId="7D70CC66" w14:textId="63CCFF86" w:rsidR="00D77176" w:rsidRPr="00A932A5" w:rsidRDefault="00174AD4" w:rsidP="00D219AA">
            <w:pPr>
              <w:rPr>
                <w:rFonts w:asciiTheme="minorHAnsi" w:eastAsia="Calibri" w:hAnsiTheme="minorHAnsi" w:cstheme="minorHAnsi"/>
                <w:color w:val="444444"/>
                <w:sz w:val="22"/>
                <w:szCs w:val="22"/>
              </w:rPr>
            </w:pPr>
            <w:r w:rsidRPr="00174AD4">
              <w:rPr>
                <w:rFonts w:asciiTheme="minorHAnsi" w:eastAsia="Calibri" w:hAnsiTheme="minorHAnsi" w:cstheme="minorHAnsi"/>
                <w:color w:val="444444"/>
                <w:sz w:val="22"/>
                <w:szCs w:val="22"/>
              </w:rPr>
              <w:t>Provides guidance for integrity in academic work by defining plagiarism and plagiarism types and describing consequences of plagiarism in academic work.</w:t>
            </w:r>
          </w:p>
        </w:tc>
      </w:tr>
      <w:tr w:rsidR="00AE4BCC" w:rsidRPr="00A932A5" w14:paraId="381603A4" w14:textId="77777777" w:rsidTr="00AE4BCC">
        <w:trPr>
          <w:trHeight w:val="20"/>
          <w:jc w:val="center"/>
        </w:trPr>
        <w:tc>
          <w:tcPr>
            <w:tcW w:w="4405" w:type="dxa"/>
            <w:tcBorders>
              <w:top w:val="single" w:sz="4" w:space="0" w:color="auto"/>
              <w:left w:val="single" w:sz="4" w:space="0" w:color="auto"/>
              <w:bottom w:val="single" w:sz="4" w:space="0" w:color="auto"/>
              <w:right w:val="single" w:sz="4" w:space="0" w:color="auto"/>
            </w:tcBorders>
            <w:vAlign w:val="center"/>
          </w:tcPr>
          <w:p w14:paraId="59606086" w14:textId="77777777" w:rsidR="00AE4BCC" w:rsidRPr="00407B89" w:rsidRDefault="00AE4BCC" w:rsidP="00212A95">
            <w:pPr>
              <w:rPr>
                <w:rStyle w:val="Hyperlink"/>
                <w:rFonts w:asciiTheme="minorHAnsi" w:hAnsiTheme="minorHAnsi" w:cstheme="minorHAnsi"/>
                <w:color w:val="auto"/>
                <w:sz w:val="22"/>
                <w:szCs w:val="22"/>
                <w:u w:val="none"/>
              </w:rPr>
            </w:pPr>
            <w:hyperlink r:id="rId32" w:tooltip="CON Emotional Health Policy and Guidelines" w:history="1">
              <w:r w:rsidRPr="00407B89">
                <w:rPr>
                  <w:rStyle w:val="Hyperlink"/>
                  <w:rFonts w:asciiTheme="minorHAnsi" w:hAnsiTheme="minorHAnsi" w:cstheme="minorHAnsi"/>
                  <w:sz w:val="22"/>
                  <w:szCs w:val="22"/>
                  <w:u w:val="none"/>
                </w:rPr>
                <w:t>Emotional Health Policy and Guidelines</w:t>
              </w:r>
            </w:hyperlink>
          </w:p>
        </w:tc>
        <w:tc>
          <w:tcPr>
            <w:tcW w:w="1170" w:type="dxa"/>
            <w:tcBorders>
              <w:top w:val="single" w:sz="4" w:space="0" w:color="auto"/>
              <w:left w:val="single" w:sz="4" w:space="0" w:color="auto"/>
              <w:bottom w:val="single" w:sz="4" w:space="0" w:color="auto"/>
              <w:right w:val="single" w:sz="4" w:space="0" w:color="auto"/>
            </w:tcBorders>
            <w:vAlign w:val="center"/>
          </w:tcPr>
          <w:p w14:paraId="6163E645" w14:textId="77777777" w:rsidR="00AE4BCC" w:rsidRPr="00A932A5" w:rsidRDefault="00AE4BCC" w:rsidP="00212A95">
            <w:pPr>
              <w:rPr>
                <w:rFonts w:asciiTheme="minorHAnsi" w:hAnsiTheme="minorHAnsi" w:cstheme="minorHAnsi"/>
                <w:sz w:val="22"/>
                <w:szCs w:val="22"/>
              </w:rPr>
            </w:pPr>
            <w:r w:rsidRPr="00A932A5">
              <w:rPr>
                <w:rFonts w:asciiTheme="minorHAnsi" w:hAnsiTheme="minorHAnsi" w:cstheme="minorHAnsi"/>
                <w:sz w:val="22"/>
                <w:szCs w:val="22"/>
              </w:rPr>
              <w:t>2112</w:t>
            </w:r>
          </w:p>
        </w:tc>
        <w:tc>
          <w:tcPr>
            <w:tcW w:w="5200" w:type="dxa"/>
            <w:tcBorders>
              <w:top w:val="single" w:sz="4" w:space="0" w:color="auto"/>
              <w:left w:val="single" w:sz="4" w:space="0" w:color="auto"/>
              <w:bottom w:val="single" w:sz="4" w:space="0" w:color="auto"/>
              <w:right w:val="single" w:sz="4" w:space="0" w:color="auto"/>
            </w:tcBorders>
            <w:vAlign w:val="center"/>
          </w:tcPr>
          <w:p w14:paraId="5085CCFE" w14:textId="77777777" w:rsidR="00AE4BCC" w:rsidRPr="00A932A5" w:rsidRDefault="00AE4BCC" w:rsidP="00212A95">
            <w:pPr>
              <w:rPr>
                <w:rFonts w:asciiTheme="minorHAnsi" w:eastAsia="Calibri" w:hAnsiTheme="minorHAnsi" w:cstheme="minorHAnsi"/>
                <w:color w:val="444444"/>
                <w:sz w:val="22"/>
                <w:szCs w:val="22"/>
              </w:rPr>
            </w:pPr>
            <w:proofErr w:type="gramStart"/>
            <w:r w:rsidRPr="00A932A5">
              <w:rPr>
                <w:rFonts w:asciiTheme="minorHAnsi" w:eastAsia="Calibri" w:hAnsiTheme="minorHAnsi" w:cstheme="minorHAnsi"/>
                <w:color w:val="444444"/>
                <w:sz w:val="22"/>
                <w:szCs w:val="22"/>
              </w:rPr>
              <w:t>Establishes</w:t>
            </w:r>
            <w:proofErr w:type="gramEnd"/>
            <w:r w:rsidRPr="00A932A5">
              <w:rPr>
                <w:rFonts w:asciiTheme="minorHAnsi" w:eastAsia="Calibri" w:hAnsiTheme="minorHAnsi" w:cstheme="minorHAnsi"/>
                <w:color w:val="444444"/>
                <w:sz w:val="22"/>
                <w:szCs w:val="22"/>
              </w:rPr>
              <w:t xml:space="preserve"> guidelines for supporting the emotional well-being of all students.</w:t>
            </w:r>
          </w:p>
        </w:tc>
      </w:tr>
      <w:tr w:rsidR="00D219AA" w:rsidRPr="00A932A5" w14:paraId="0CD5D6A0" w14:textId="77777777" w:rsidTr="00E71088">
        <w:trPr>
          <w:trHeight w:val="20"/>
          <w:jc w:val="center"/>
        </w:trPr>
        <w:tc>
          <w:tcPr>
            <w:tcW w:w="4405" w:type="dxa"/>
            <w:vAlign w:val="center"/>
          </w:tcPr>
          <w:p w14:paraId="75663AEA" w14:textId="407908F5" w:rsidR="00D219AA" w:rsidRPr="00A932A5" w:rsidRDefault="00D219AA" w:rsidP="00D219AA">
            <w:pPr>
              <w:rPr>
                <w:rStyle w:val="Hyperlink"/>
                <w:rFonts w:asciiTheme="minorHAnsi" w:hAnsiTheme="minorHAnsi" w:cstheme="minorHAnsi"/>
                <w:sz w:val="22"/>
                <w:szCs w:val="22"/>
                <w:u w:val="none"/>
              </w:rPr>
            </w:pPr>
            <w:hyperlink r:id="rId33">
              <w:r w:rsidRPr="00A932A5">
                <w:rPr>
                  <w:rStyle w:val="Hyperlink"/>
                  <w:rFonts w:asciiTheme="minorHAnsi" w:hAnsiTheme="minorHAnsi" w:cstheme="minorHAnsi"/>
                  <w:sz w:val="22"/>
                  <w:szCs w:val="22"/>
                  <w:u w:val="none"/>
                </w:rPr>
                <w:t>Technical Standards for Undergraduate Program</w:t>
              </w:r>
            </w:hyperlink>
          </w:p>
        </w:tc>
        <w:tc>
          <w:tcPr>
            <w:tcW w:w="1170" w:type="dxa"/>
            <w:vAlign w:val="center"/>
          </w:tcPr>
          <w:p w14:paraId="6DEF218F" w14:textId="39522173" w:rsidR="00D219AA" w:rsidRPr="00A932A5" w:rsidRDefault="00AD2272"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2201</w:t>
            </w:r>
          </w:p>
        </w:tc>
        <w:tc>
          <w:tcPr>
            <w:tcW w:w="5200" w:type="dxa"/>
            <w:vAlign w:val="center"/>
          </w:tcPr>
          <w:p w14:paraId="09E76336" w14:textId="7A961A14" w:rsidR="00D219AA" w:rsidRPr="00A932A5" w:rsidRDefault="00D219AA" w:rsidP="00D219AA">
            <w:pPr>
              <w:rPr>
                <w:rFonts w:asciiTheme="minorHAnsi" w:eastAsia="Calibri" w:hAnsiTheme="minorHAnsi" w:cstheme="minorHAnsi"/>
                <w:color w:val="444444"/>
                <w:sz w:val="22"/>
                <w:szCs w:val="22"/>
              </w:rPr>
            </w:pPr>
            <w:r w:rsidRPr="00A932A5">
              <w:rPr>
                <w:rFonts w:asciiTheme="minorHAnsi" w:eastAsia="Calibri" w:hAnsiTheme="minorHAnsi" w:cstheme="minorHAnsi"/>
                <w:color w:val="444444"/>
                <w:sz w:val="22"/>
                <w:szCs w:val="22"/>
              </w:rPr>
              <w:t>Identifies general abilities necessary to meet the technical standards for progression.</w:t>
            </w:r>
          </w:p>
        </w:tc>
      </w:tr>
      <w:tr w:rsidR="00D219AA" w:rsidRPr="00A932A5" w14:paraId="43160664" w14:textId="77777777" w:rsidTr="00E71088">
        <w:trPr>
          <w:trHeight w:val="20"/>
          <w:jc w:val="center"/>
        </w:trPr>
        <w:tc>
          <w:tcPr>
            <w:tcW w:w="4405" w:type="dxa"/>
            <w:vAlign w:val="center"/>
          </w:tcPr>
          <w:p w14:paraId="029780F6" w14:textId="66116744" w:rsidR="00D219AA" w:rsidRPr="00A932A5" w:rsidRDefault="00D219AA" w:rsidP="00D219AA">
            <w:pPr>
              <w:rPr>
                <w:rStyle w:val="Hyperlink"/>
                <w:rFonts w:asciiTheme="minorHAnsi" w:hAnsiTheme="minorHAnsi" w:cstheme="minorHAnsi"/>
                <w:sz w:val="22"/>
                <w:szCs w:val="22"/>
                <w:u w:val="none"/>
              </w:rPr>
            </w:pPr>
            <w:hyperlink r:id="rId34">
              <w:r w:rsidRPr="00A932A5">
                <w:rPr>
                  <w:rStyle w:val="Hyperlink"/>
                  <w:rFonts w:asciiTheme="minorHAnsi" w:hAnsiTheme="minorHAnsi" w:cstheme="minorHAnsi"/>
                  <w:sz w:val="22"/>
                  <w:szCs w:val="22"/>
                  <w:u w:val="none"/>
                </w:rPr>
                <w:t>Medication Math Competency Requirements</w:t>
              </w:r>
            </w:hyperlink>
          </w:p>
        </w:tc>
        <w:tc>
          <w:tcPr>
            <w:tcW w:w="1170" w:type="dxa"/>
            <w:vAlign w:val="center"/>
          </w:tcPr>
          <w:p w14:paraId="093AFFC3" w14:textId="6F395CF9" w:rsidR="00D219AA" w:rsidRPr="00A932A5" w:rsidRDefault="00AD2272"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2202</w:t>
            </w:r>
          </w:p>
        </w:tc>
        <w:tc>
          <w:tcPr>
            <w:tcW w:w="5200" w:type="dxa"/>
            <w:vAlign w:val="center"/>
          </w:tcPr>
          <w:p w14:paraId="37729DA1" w14:textId="7603DEAC" w:rsidR="00D219AA" w:rsidRPr="00A932A5" w:rsidRDefault="00D219AA" w:rsidP="00D219AA">
            <w:pPr>
              <w:rPr>
                <w:rFonts w:asciiTheme="minorHAnsi" w:hAnsiTheme="minorHAnsi" w:cstheme="minorHAnsi"/>
                <w:color w:val="000000"/>
                <w:sz w:val="22"/>
                <w:szCs w:val="22"/>
              </w:rPr>
            </w:pPr>
            <w:r w:rsidRPr="00A932A5">
              <w:rPr>
                <w:rFonts w:asciiTheme="minorHAnsi" w:hAnsiTheme="minorHAnsi" w:cstheme="minorHAnsi"/>
                <w:color w:val="444444"/>
                <w:sz w:val="22"/>
                <w:szCs w:val="22"/>
                <w:shd w:val="clear" w:color="auto" w:fill="FFFFFF"/>
              </w:rPr>
              <w:t>Establishes criteria for math competencies.</w:t>
            </w:r>
          </w:p>
        </w:tc>
      </w:tr>
      <w:tr w:rsidR="00D219AA" w:rsidRPr="00A932A5" w14:paraId="72D5977B" w14:textId="77777777" w:rsidTr="00E71088">
        <w:trPr>
          <w:trHeight w:val="20"/>
          <w:jc w:val="center"/>
        </w:trPr>
        <w:tc>
          <w:tcPr>
            <w:tcW w:w="4405" w:type="dxa"/>
            <w:vAlign w:val="center"/>
          </w:tcPr>
          <w:p w14:paraId="3EFFFDE0" w14:textId="694DBF55" w:rsidR="00D219AA" w:rsidRPr="00A932A5" w:rsidRDefault="00D219AA" w:rsidP="00D219AA">
            <w:pPr>
              <w:rPr>
                <w:rStyle w:val="Hyperlink"/>
                <w:rFonts w:asciiTheme="minorHAnsi" w:hAnsiTheme="minorHAnsi" w:cstheme="minorHAnsi"/>
                <w:sz w:val="22"/>
                <w:szCs w:val="22"/>
                <w:u w:val="none"/>
              </w:rPr>
            </w:pPr>
            <w:hyperlink r:id="rId35">
              <w:r w:rsidRPr="00A932A5">
                <w:rPr>
                  <w:rStyle w:val="Hyperlink"/>
                  <w:rFonts w:asciiTheme="minorHAnsi" w:hAnsiTheme="minorHAnsi" w:cstheme="minorHAnsi"/>
                  <w:sz w:val="22"/>
                  <w:szCs w:val="22"/>
                  <w:u w:val="none"/>
                </w:rPr>
                <w:t>Undergraduate Admission Requirements</w:t>
              </w:r>
            </w:hyperlink>
          </w:p>
        </w:tc>
        <w:tc>
          <w:tcPr>
            <w:tcW w:w="1170" w:type="dxa"/>
            <w:vAlign w:val="center"/>
          </w:tcPr>
          <w:p w14:paraId="7DBB4227" w14:textId="3C729D58" w:rsidR="00D219AA" w:rsidRPr="00A932A5" w:rsidRDefault="00AD2272"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2203</w:t>
            </w:r>
          </w:p>
        </w:tc>
        <w:tc>
          <w:tcPr>
            <w:tcW w:w="5200" w:type="dxa"/>
            <w:vAlign w:val="center"/>
          </w:tcPr>
          <w:p w14:paraId="13E5D2D3" w14:textId="3769F4A5"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criteria for admission into the undergraduate program.</w:t>
            </w:r>
          </w:p>
        </w:tc>
      </w:tr>
      <w:tr w:rsidR="00D219AA" w:rsidRPr="00A932A5" w14:paraId="6435E3C2" w14:textId="77777777" w:rsidTr="00E71088">
        <w:trPr>
          <w:trHeight w:val="20"/>
          <w:jc w:val="center"/>
        </w:trPr>
        <w:tc>
          <w:tcPr>
            <w:tcW w:w="4405" w:type="dxa"/>
            <w:vAlign w:val="center"/>
          </w:tcPr>
          <w:p w14:paraId="072137AF" w14:textId="228C5506" w:rsidR="00D219AA" w:rsidRPr="00A932A5" w:rsidRDefault="00D219AA" w:rsidP="00D219AA">
            <w:pPr>
              <w:rPr>
                <w:rStyle w:val="Hyperlink"/>
                <w:rFonts w:asciiTheme="minorHAnsi" w:hAnsiTheme="minorHAnsi" w:cstheme="minorHAnsi"/>
                <w:sz w:val="22"/>
                <w:szCs w:val="22"/>
                <w:u w:val="none"/>
              </w:rPr>
            </w:pPr>
            <w:hyperlink r:id="rId36">
              <w:r w:rsidRPr="00A932A5">
                <w:rPr>
                  <w:rStyle w:val="Hyperlink"/>
                  <w:rFonts w:asciiTheme="minorHAnsi" w:hAnsiTheme="minorHAnsi" w:cstheme="minorHAnsi"/>
                  <w:sz w:val="22"/>
                  <w:szCs w:val="22"/>
                  <w:u w:val="none"/>
                </w:rPr>
                <w:t xml:space="preserve">English as a Second Language </w:t>
              </w:r>
              <w:r w:rsidR="00245FAE" w:rsidRPr="00A932A5">
                <w:rPr>
                  <w:rStyle w:val="Hyperlink"/>
                  <w:rFonts w:asciiTheme="minorHAnsi" w:hAnsiTheme="minorHAnsi" w:cstheme="minorHAnsi"/>
                  <w:sz w:val="22"/>
                  <w:szCs w:val="22"/>
                  <w:u w:val="none"/>
                </w:rPr>
                <w:t xml:space="preserve">- </w:t>
              </w:r>
              <w:r w:rsidRPr="00A932A5">
                <w:rPr>
                  <w:rStyle w:val="Hyperlink"/>
                  <w:rFonts w:asciiTheme="minorHAnsi" w:hAnsiTheme="minorHAnsi" w:cstheme="minorHAnsi"/>
                  <w:sz w:val="22"/>
                  <w:szCs w:val="22"/>
                  <w:u w:val="none"/>
                </w:rPr>
                <w:t>Undergraduate Students</w:t>
              </w:r>
            </w:hyperlink>
          </w:p>
        </w:tc>
        <w:tc>
          <w:tcPr>
            <w:tcW w:w="1170" w:type="dxa"/>
            <w:vAlign w:val="center"/>
          </w:tcPr>
          <w:p w14:paraId="2061DA91" w14:textId="4CA77112" w:rsidR="00D219AA" w:rsidRPr="00A932A5" w:rsidRDefault="00AD2272"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2204</w:t>
            </w:r>
          </w:p>
        </w:tc>
        <w:tc>
          <w:tcPr>
            <w:tcW w:w="5200" w:type="dxa"/>
            <w:vAlign w:val="center"/>
          </w:tcPr>
          <w:p w14:paraId="650AA3AC" w14:textId="4B21EE32"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criteria for evaluating English language proficiency for applicants.</w:t>
            </w:r>
          </w:p>
        </w:tc>
      </w:tr>
      <w:tr w:rsidR="00D219AA" w:rsidRPr="00A932A5" w14:paraId="42173CB5" w14:textId="77777777" w:rsidTr="00E71088">
        <w:trPr>
          <w:trHeight w:val="20"/>
          <w:jc w:val="center"/>
        </w:trPr>
        <w:tc>
          <w:tcPr>
            <w:tcW w:w="4405" w:type="dxa"/>
            <w:vAlign w:val="center"/>
          </w:tcPr>
          <w:p w14:paraId="026F875C" w14:textId="2B81DB1A" w:rsidR="00D219AA" w:rsidRPr="00A932A5" w:rsidRDefault="00D219AA" w:rsidP="00D219AA">
            <w:pPr>
              <w:rPr>
                <w:rStyle w:val="Hyperlink"/>
                <w:rFonts w:asciiTheme="minorHAnsi" w:hAnsiTheme="minorHAnsi" w:cstheme="minorHAnsi"/>
                <w:sz w:val="22"/>
                <w:szCs w:val="22"/>
                <w:u w:val="none"/>
              </w:rPr>
            </w:pPr>
            <w:hyperlink r:id="rId37">
              <w:r w:rsidRPr="00A932A5">
                <w:rPr>
                  <w:rStyle w:val="Hyperlink"/>
                  <w:rFonts w:asciiTheme="minorHAnsi" w:hAnsiTheme="minorHAnsi" w:cstheme="minorHAnsi"/>
                  <w:sz w:val="22"/>
                  <w:szCs w:val="22"/>
                  <w:u w:val="none"/>
                </w:rPr>
                <w:t>Awarding of Credit by Examination for Non-Nursing Courses</w:t>
              </w:r>
            </w:hyperlink>
          </w:p>
        </w:tc>
        <w:tc>
          <w:tcPr>
            <w:tcW w:w="1170" w:type="dxa"/>
            <w:vAlign w:val="center"/>
          </w:tcPr>
          <w:p w14:paraId="0BA88DE5" w14:textId="23C25490" w:rsidR="00D219AA" w:rsidRPr="00A932A5" w:rsidRDefault="00AD2272"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2205</w:t>
            </w:r>
          </w:p>
        </w:tc>
        <w:tc>
          <w:tcPr>
            <w:tcW w:w="5200" w:type="dxa"/>
            <w:vAlign w:val="center"/>
          </w:tcPr>
          <w:p w14:paraId="5C5849E2" w14:textId="42B8B1F8"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criteria by which non-nursing credit can be accepted.</w:t>
            </w:r>
          </w:p>
        </w:tc>
      </w:tr>
      <w:tr w:rsidR="00D219AA" w:rsidRPr="00A932A5" w14:paraId="377EC759" w14:textId="77777777" w:rsidTr="00E71088">
        <w:trPr>
          <w:trHeight w:val="20"/>
          <w:jc w:val="center"/>
        </w:trPr>
        <w:tc>
          <w:tcPr>
            <w:tcW w:w="4405" w:type="dxa"/>
            <w:vAlign w:val="center"/>
          </w:tcPr>
          <w:p w14:paraId="1080BF9A" w14:textId="3679147C" w:rsidR="00D219AA" w:rsidRPr="00A932A5" w:rsidRDefault="00D219AA" w:rsidP="00D219AA">
            <w:pPr>
              <w:rPr>
                <w:rStyle w:val="Hyperlink"/>
                <w:rFonts w:asciiTheme="minorHAnsi" w:hAnsiTheme="minorHAnsi" w:cstheme="minorHAnsi"/>
                <w:sz w:val="22"/>
                <w:szCs w:val="22"/>
                <w:u w:val="none"/>
              </w:rPr>
            </w:pPr>
            <w:hyperlink r:id="rId38">
              <w:r w:rsidRPr="00A932A5">
                <w:rPr>
                  <w:rStyle w:val="Hyperlink"/>
                  <w:rFonts w:asciiTheme="minorHAnsi" w:hAnsiTheme="minorHAnsi" w:cstheme="minorHAnsi"/>
                  <w:sz w:val="22"/>
                  <w:szCs w:val="22"/>
                  <w:u w:val="none"/>
                </w:rPr>
                <w:t>Advanced Placement</w:t>
              </w:r>
            </w:hyperlink>
          </w:p>
        </w:tc>
        <w:tc>
          <w:tcPr>
            <w:tcW w:w="1170" w:type="dxa"/>
            <w:vAlign w:val="center"/>
          </w:tcPr>
          <w:p w14:paraId="3643343D" w14:textId="4107C5AF" w:rsidR="00D219AA" w:rsidRPr="00A932A5" w:rsidRDefault="00AD2272"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2206</w:t>
            </w:r>
          </w:p>
        </w:tc>
        <w:tc>
          <w:tcPr>
            <w:tcW w:w="5200" w:type="dxa"/>
            <w:vAlign w:val="center"/>
          </w:tcPr>
          <w:p w14:paraId="4B37D1F7" w14:textId="2B60B40E" w:rsidR="00D219AA" w:rsidRPr="00A932A5" w:rsidRDefault="00D219AA" w:rsidP="00D219AA">
            <w:pPr>
              <w:rPr>
                <w:rFonts w:asciiTheme="minorHAnsi" w:hAnsiTheme="minorHAnsi" w:cstheme="minorHAnsi"/>
                <w:color w:val="444444"/>
                <w:sz w:val="22"/>
                <w:szCs w:val="22"/>
                <w:shd w:val="clear" w:color="auto" w:fill="FFFFFF"/>
              </w:rPr>
            </w:pPr>
            <w:proofErr w:type="gramStart"/>
            <w:r w:rsidRPr="00A932A5">
              <w:rPr>
                <w:rFonts w:asciiTheme="minorHAnsi" w:hAnsiTheme="minorHAnsi" w:cstheme="minorHAnsi"/>
                <w:color w:val="444444"/>
                <w:sz w:val="22"/>
                <w:szCs w:val="22"/>
                <w:shd w:val="clear" w:color="auto" w:fill="FFFFFF"/>
              </w:rPr>
              <w:t>Establishes</w:t>
            </w:r>
            <w:proofErr w:type="gramEnd"/>
            <w:r w:rsidRPr="00A932A5">
              <w:rPr>
                <w:rFonts w:asciiTheme="minorHAnsi" w:hAnsiTheme="minorHAnsi" w:cstheme="minorHAnsi"/>
                <w:color w:val="444444"/>
                <w:sz w:val="22"/>
                <w:szCs w:val="22"/>
                <w:shd w:val="clear" w:color="auto" w:fill="FFFFFF"/>
              </w:rPr>
              <w:t xml:space="preserve"> criteria by which students may qualify for advanced placement.</w:t>
            </w:r>
          </w:p>
        </w:tc>
      </w:tr>
      <w:tr w:rsidR="00D219AA" w:rsidRPr="00A932A5" w14:paraId="2094411A" w14:textId="77777777" w:rsidTr="00E71088">
        <w:trPr>
          <w:trHeight w:val="20"/>
          <w:jc w:val="center"/>
        </w:trPr>
        <w:tc>
          <w:tcPr>
            <w:tcW w:w="4405" w:type="dxa"/>
            <w:vAlign w:val="center"/>
          </w:tcPr>
          <w:p w14:paraId="15B27A46" w14:textId="362F8FB7" w:rsidR="00D219AA" w:rsidRPr="00A932A5" w:rsidRDefault="00D219AA" w:rsidP="00D219AA">
            <w:pPr>
              <w:rPr>
                <w:rStyle w:val="Hyperlink"/>
                <w:rFonts w:asciiTheme="minorHAnsi" w:hAnsiTheme="minorHAnsi" w:cstheme="minorHAnsi"/>
                <w:sz w:val="22"/>
                <w:szCs w:val="22"/>
                <w:u w:val="none"/>
              </w:rPr>
            </w:pPr>
            <w:hyperlink r:id="rId39">
              <w:r w:rsidRPr="00A932A5">
                <w:rPr>
                  <w:rStyle w:val="Hyperlink"/>
                  <w:rFonts w:asciiTheme="minorHAnsi" w:hAnsiTheme="minorHAnsi" w:cstheme="minorHAnsi"/>
                  <w:sz w:val="22"/>
                  <w:szCs w:val="22"/>
                  <w:u w:val="none"/>
                </w:rPr>
                <w:t>Undergraduate Transfer Credit</w:t>
              </w:r>
            </w:hyperlink>
          </w:p>
        </w:tc>
        <w:tc>
          <w:tcPr>
            <w:tcW w:w="1170" w:type="dxa"/>
            <w:vAlign w:val="center"/>
          </w:tcPr>
          <w:p w14:paraId="7B099A34" w14:textId="7D9B88B8" w:rsidR="00D219AA" w:rsidRPr="00A932A5" w:rsidRDefault="00AD2272"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2207</w:t>
            </w:r>
          </w:p>
        </w:tc>
        <w:tc>
          <w:tcPr>
            <w:tcW w:w="5200" w:type="dxa"/>
            <w:vAlign w:val="center"/>
          </w:tcPr>
          <w:p w14:paraId="3A6DC7BC" w14:textId="1C10EBF5" w:rsidR="00D219AA" w:rsidRPr="00A932A5" w:rsidRDefault="00D219AA" w:rsidP="00D219AA">
            <w:pPr>
              <w:rPr>
                <w:rFonts w:asciiTheme="minorHAnsi" w:hAnsiTheme="minorHAnsi" w:cstheme="minorHAnsi"/>
                <w:color w:val="444444"/>
                <w:sz w:val="22"/>
                <w:szCs w:val="22"/>
                <w:shd w:val="clear" w:color="auto" w:fill="FFFFFF"/>
              </w:rPr>
            </w:pPr>
            <w:proofErr w:type="gramStart"/>
            <w:r w:rsidRPr="00A932A5">
              <w:rPr>
                <w:rFonts w:asciiTheme="minorHAnsi" w:hAnsiTheme="minorHAnsi" w:cstheme="minorHAnsi"/>
                <w:color w:val="444444"/>
                <w:sz w:val="22"/>
                <w:szCs w:val="22"/>
                <w:shd w:val="clear" w:color="auto" w:fill="FFFFFF"/>
              </w:rPr>
              <w:t>Establishes</w:t>
            </w:r>
            <w:proofErr w:type="gramEnd"/>
            <w:r w:rsidRPr="00A932A5">
              <w:rPr>
                <w:rFonts w:asciiTheme="minorHAnsi" w:hAnsiTheme="minorHAnsi" w:cstheme="minorHAnsi"/>
                <w:color w:val="444444"/>
                <w:sz w:val="22"/>
                <w:szCs w:val="22"/>
                <w:shd w:val="clear" w:color="auto" w:fill="FFFFFF"/>
              </w:rPr>
              <w:t xml:space="preserve"> criteria by which transfer credit can be accepted.</w:t>
            </w:r>
          </w:p>
        </w:tc>
      </w:tr>
      <w:tr w:rsidR="00D219AA" w:rsidRPr="00A932A5" w14:paraId="597E7840" w14:textId="77777777" w:rsidTr="00E71088">
        <w:trPr>
          <w:trHeight w:val="20"/>
          <w:jc w:val="center"/>
        </w:trPr>
        <w:tc>
          <w:tcPr>
            <w:tcW w:w="4405" w:type="dxa"/>
            <w:vAlign w:val="center"/>
          </w:tcPr>
          <w:p w14:paraId="7292590F" w14:textId="08C636E3" w:rsidR="00D219AA" w:rsidRPr="00A932A5" w:rsidRDefault="00D219AA" w:rsidP="00D219AA">
            <w:pPr>
              <w:rPr>
                <w:rStyle w:val="Hyperlink"/>
                <w:rFonts w:asciiTheme="minorHAnsi" w:hAnsiTheme="minorHAnsi" w:cstheme="minorHAnsi"/>
                <w:sz w:val="22"/>
                <w:szCs w:val="22"/>
                <w:u w:val="none"/>
              </w:rPr>
            </w:pPr>
            <w:hyperlink r:id="rId40">
              <w:r w:rsidRPr="00A932A5">
                <w:rPr>
                  <w:rStyle w:val="Hyperlink"/>
                  <w:rFonts w:asciiTheme="minorHAnsi" w:hAnsiTheme="minorHAnsi" w:cstheme="minorHAnsi"/>
                  <w:sz w:val="22"/>
                  <w:szCs w:val="22"/>
                  <w:u w:val="none"/>
                </w:rPr>
                <w:t>Auditing of Courses</w:t>
              </w:r>
            </w:hyperlink>
          </w:p>
        </w:tc>
        <w:tc>
          <w:tcPr>
            <w:tcW w:w="1170" w:type="dxa"/>
            <w:vAlign w:val="center"/>
          </w:tcPr>
          <w:p w14:paraId="736F93C0" w14:textId="42E91E86" w:rsidR="00D219AA" w:rsidRPr="00A932A5" w:rsidRDefault="00647B7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2208</w:t>
            </w:r>
          </w:p>
        </w:tc>
        <w:tc>
          <w:tcPr>
            <w:tcW w:w="5200" w:type="dxa"/>
            <w:vAlign w:val="center"/>
          </w:tcPr>
          <w:p w14:paraId="1A841DF8" w14:textId="1954E718" w:rsidR="00D219AA" w:rsidRPr="00A932A5" w:rsidRDefault="00D219AA" w:rsidP="00D219AA">
            <w:pPr>
              <w:rPr>
                <w:rFonts w:asciiTheme="minorHAnsi" w:hAnsiTheme="minorHAnsi" w:cstheme="minorHAnsi"/>
                <w:color w:val="444444"/>
                <w:sz w:val="22"/>
                <w:szCs w:val="22"/>
                <w:shd w:val="clear" w:color="auto" w:fill="FFFFFF"/>
              </w:rPr>
            </w:pPr>
            <w:proofErr w:type="gramStart"/>
            <w:r w:rsidRPr="00A932A5">
              <w:rPr>
                <w:rFonts w:asciiTheme="minorHAnsi" w:hAnsiTheme="minorHAnsi" w:cstheme="minorHAnsi"/>
                <w:color w:val="444444"/>
                <w:sz w:val="22"/>
                <w:szCs w:val="22"/>
                <w:shd w:val="clear" w:color="auto" w:fill="FFFFFF"/>
              </w:rPr>
              <w:t>Establishes</w:t>
            </w:r>
            <w:proofErr w:type="gramEnd"/>
            <w:r w:rsidRPr="00A932A5">
              <w:rPr>
                <w:rFonts w:asciiTheme="minorHAnsi" w:hAnsiTheme="minorHAnsi" w:cstheme="minorHAnsi"/>
                <w:color w:val="444444"/>
                <w:sz w:val="22"/>
                <w:szCs w:val="22"/>
                <w:shd w:val="clear" w:color="auto" w:fill="FFFFFF"/>
              </w:rPr>
              <w:t xml:space="preserve"> the criteria by which a nursing course may be audited or changed to a credit course.</w:t>
            </w:r>
          </w:p>
        </w:tc>
      </w:tr>
      <w:tr w:rsidR="00D219AA" w:rsidRPr="00A932A5" w14:paraId="735154F9" w14:textId="77777777" w:rsidTr="00E71088">
        <w:trPr>
          <w:trHeight w:val="20"/>
          <w:jc w:val="center"/>
        </w:trPr>
        <w:tc>
          <w:tcPr>
            <w:tcW w:w="4405" w:type="dxa"/>
            <w:vAlign w:val="center"/>
          </w:tcPr>
          <w:p w14:paraId="63D82230" w14:textId="50803568" w:rsidR="00D219AA" w:rsidRPr="00A932A5" w:rsidRDefault="00D219AA" w:rsidP="00D219AA">
            <w:pPr>
              <w:rPr>
                <w:rStyle w:val="Hyperlink"/>
                <w:rFonts w:asciiTheme="minorHAnsi" w:hAnsiTheme="minorHAnsi" w:cstheme="minorHAnsi"/>
                <w:sz w:val="22"/>
                <w:szCs w:val="22"/>
                <w:u w:val="none"/>
              </w:rPr>
            </w:pPr>
            <w:hyperlink r:id="rId41">
              <w:r w:rsidRPr="00A932A5">
                <w:rPr>
                  <w:rStyle w:val="Hyperlink"/>
                  <w:rFonts w:asciiTheme="minorHAnsi" w:hAnsiTheme="minorHAnsi" w:cstheme="minorHAnsi"/>
                  <w:sz w:val="22"/>
                  <w:szCs w:val="22"/>
                  <w:u w:val="none"/>
                </w:rPr>
                <w:t>Undergraduate Unclassified Student</w:t>
              </w:r>
            </w:hyperlink>
          </w:p>
        </w:tc>
        <w:tc>
          <w:tcPr>
            <w:tcW w:w="1170" w:type="dxa"/>
            <w:vAlign w:val="center"/>
          </w:tcPr>
          <w:p w14:paraId="75A47DB3" w14:textId="10C34D4F" w:rsidR="00D219AA" w:rsidRPr="00A932A5" w:rsidRDefault="00647B7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2209</w:t>
            </w:r>
          </w:p>
        </w:tc>
        <w:tc>
          <w:tcPr>
            <w:tcW w:w="5200" w:type="dxa"/>
            <w:vAlign w:val="center"/>
          </w:tcPr>
          <w:p w14:paraId="42773C4E" w14:textId="0AAB1A5A"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the criteria by which courses may be taken by unclassified students.</w:t>
            </w:r>
          </w:p>
        </w:tc>
      </w:tr>
      <w:tr w:rsidR="00D219AA" w:rsidRPr="00A932A5" w14:paraId="06072251" w14:textId="77777777" w:rsidTr="00E71088">
        <w:trPr>
          <w:trHeight w:val="20"/>
          <w:jc w:val="center"/>
        </w:trPr>
        <w:tc>
          <w:tcPr>
            <w:tcW w:w="4405" w:type="dxa"/>
            <w:vAlign w:val="center"/>
          </w:tcPr>
          <w:p w14:paraId="1235D018" w14:textId="12B80135" w:rsidR="00D219AA" w:rsidRPr="00A932A5" w:rsidRDefault="00D219AA" w:rsidP="00D219AA">
            <w:pPr>
              <w:rPr>
                <w:rStyle w:val="Hyperlink"/>
                <w:rFonts w:asciiTheme="minorHAnsi" w:hAnsiTheme="minorHAnsi" w:cstheme="minorHAnsi"/>
                <w:sz w:val="22"/>
                <w:szCs w:val="22"/>
                <w:u w:val="none"/>
              </w:rPr>
            </w:pPr>
            <w:hyperlink r:id="rId42">
              <w:r w:rsidRPr="00A932A5">
                <w:rPr>
                  <w:rStyle w:val="Hyperlink"/>
                  <w:rFonts w:asciiTheme="minorHAnsi" w:hAnsiTheme="minorHAnsi" w:cstheme="minorHAnsi"/>
                  <w:sz w:val="22"/>
                  <w:szCs w:val="22"/>
                  <w:u w:val="none"/>
                </w:rPr>
                <w:t>Undergraduate Guaranteed Admission to the BSN Program</w:t>
              </w:r>
            </w:hyperlink>
          </w:p>
        </w:tc>
        <w:tc>
          <w:tcPr>
            <w:tcW w:w="1170" w:type="dxa"/>
            <w:vAlign w:val="center"/>
          </w:tcPr>
          <w:p w14:paraId="357CD11B" w14:textId="2152F6D9" w:rsidR="00D219AA" w:rsidRPr="00A932A5" w:rsidRDefault="00647B7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2210</w:t>
            </w:r>
          </w:p>
        </w:tc>
        <w:tc>
          <w:tcPr>
            <w:tcW w:w="5200" w:type="dxa"/>
            <w:vAlign w:val="center"/>
          </w:tcPr>
          <w:p w14:paraId="106ECEFB" w14:textId="09A8458B" w:rsidR="00D219AA" w:rsidRPr="00A932A5" w:rsidRDefault="00D219AA" w:rsidP="00D219AA">
            <w:pPr>
              <w:rPr>
                <w:rFonts w:asciiTheme="minorHAnsi" w:hAnsiTheme="minorHAnsi" w:cstheme="minorHAnsi"/>
                <w:color w:val="444444"/>
                <w:sz w:val="22"/>
                <w:szCs w:val="22"/>
                <w:shd w:val="clear" w:color="auto" w:fill="FFFFFF"/>
              </w:rPr>
            </w:pPr>
            <w:proofErr w:type="gramStart"/>
            <w:r w:rsidRPr="00A932A5">
              <w:rPr>
                <w:rFonts w:asciiTheme="minorHAnsi" w:hAnsiTheme="minorHAnsi" w:cstheme="minorHAnsi"/>
                <w:color w:val="444444"/>
                <w:sz w:val="22"/>
                <w:szCs w:val="22"/>
                <w:shd w:val="clear" w:color="auto" w:fill="FFFFFF"/>
              </w:rPr>
              <w:t>Establishes  criteria</w:t>
            </w:r>
            <w:proofErr w:type="gramEnd"/>
            <w:r w:rsidRPr="00A932A5">
              <w:rPr>
                <w:rFonts w:asciiTheme="minorHAnsi" w:hAnsiTheme="minorHAnsi" w:cstheme="minorHAnsi"/>
                <w:color w:val="444444"/>
                <w:sz w:val="22"/>
                <w:szCs w:val="22"/>
                <w:shd w:val="clear" w:color="auto" w:fill="FFFFFF"/>
              </w:rPr>
              <w:t xml:space="preserve"> </w:t>
            </w:r>
            <w:r w:rsidR="002A65A6" w:rsidRPr="00A932A5">
              <w:rPr>
                <w:rFonts w:asciiTheme="minorHAnsi" w:hAnsiTheme="minorHAnsi" w:cstheme="minorHAnsi"/>
                <w:color w:val="444444"/>
                <w:sz w:val="22"/>
                <w:szCs w:val="22"/>
                <w:shd w:val="clear" w:color="auto" w:fill="FFFFFF"/>
              </w:rPr>
              <w:t xml:space="preserve">for guaranteed admission to the BSN </w:t>
            </w:r>
            <w:proofErr w:type="gramStart"/>
            <w:r w:rsidR="002A65A6" w:rsidRPr="00A932A5">
              <w:rPr>
                <w:rFonts w:asciiTheme="minorHAnsi" w:hAnsiTheme="minorHAnsi" w:cstheme="minorHAnsi"/>
                <w:color w:val="444444"/>
                <w:sz w:val="22"/>
                <w:szCs w:val="22"/>
                <w:shd w:val="clear" w:color="auto" w:fill="FFFFFF"/>
              </w:rPr>
              <w:t>program.</w:t>
            </w:r>
            <w:r w:rsidRPr="00A932A5">
              <w:rPr>
                <w:rFonts w:asciiTheme="minorHAnsi" w:hAnsiTheme="minorHAnsi" w:cstheme="minorHAnsi"/>
                <w:color w:val="444444"/>
                <w:sz w:val="22"/>
                <w:szCs w:val="22"/>
                <w:shd w:val="clear" w:color="auto" w:fill="FFFFFF"/>
              </w:rPr>
              <w:t>.</w:t>
            </w:r>
            <w:proofErr w:type="gramEnd"/>
          </w:p>
        </w:tc>
      </w:tr>
      <w:tr w:rsidR="00D219AA" w:rsidRPr="00A932A5" w14:paraId="6DE81245" w14:textId="77777777" w:rsidTr="00E71088">
        <w:trPr>
          <w:trHeight w:val="20"/>
          <w:jc w:val="center"/>
        </w:trPr>
        <w:tc>
          <w:tcPr>
            <w:tcW w:w="4405" w:type="dxa"/>
            <w:vAlign w:val="center"/>
          </w:tcPr>
          <w:p w14:paraId="5ABC3A91" w14:textId="7ECD2C8C" w:rsidR="00D219AA" w:rsidRPr="00A932A5" w:rsidRDefault="00D219AA" w:rsidP="00D219AA">
            <w:pPr>
              <w:rPr>
                <w:rStyle w:val="Hyperlink"/>
                <w:rFonts w:asciiTheme="minorHAnsi" w:hAnsiTheme="minorHAnsi" w:cstheme="minorHAnsi"/>
                <w:sz w:val="22"/>
                <w:szCs w:val="22"/>
                <w:u w:val="none"/>
              </w:rPr>
            </w:pPr>
            <w:hyperlink r:id="rId43">
              <w:r w:rsidRPr="00A932A5">
                <w:rPr>
                  <w:rStyle w:val="Hyperlink"/>
                  <w:rFonts w:asciiTheme="minorHAnsi" w:hAnsiTheme="minorHAnsi" w:cstheme="minorHAnsi"/>
                  <w:sz w:val="22"/>
                  <w:szCs w:val="22"/>
                  <w:u w:val="none"/>
                </w:rPr>
                <w:t>Student Clinical Attire</w:t>
              </w:r>
            </w:hyperlink>
          </w:p>
        </w:tc>
        <w:tc>
          <w:tcPr>
            <w:tcW w:w="1170" w:type="dxa"/>
            <w:vAlign w:val="center"/>
          </w:tcPr>
          <w:p w14:paraId="021FAEE9" w14:textId="5DD55484" w:rsidR="00D219AA" w:rsidRPr="00A932A5" w:rsidRDefault="00647B7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2211</w:t>
            </w:r>
          </w:p>
        </w:tc>
        <w:tc>
          <w:tcPr>
            <w:tcW w:w="5200" w:type="dxa"/>
            <w:vAlign w:val="center"/>
          </w:tcPr>
          <w:p w14:paraId="1485D925" w14:textId="5ECB6166"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the appropriate attire for each division specific clinical agency.</w:t>
            </w:r>
          </w:p>
        </w:tc>
      </w:tr>
      <w:tr w:rsidR="00D219AA" w:rsidRPr="00A932A5" w14:paraId="06AB1486" w14:textId="77777777" w:rsidTr="00E71088">
        <w:trPr>
          <w:trHeight w:val="20"/>
          <w:jc w:val="center"/>
        </w:trPr>
        <w:tc>
          <w:tcPr>
            <w:tcW w:w="4405" w:type="dxa"/>
            <w:vAlign w:val="center"/>
          </w:tcPr>
          <w:p w14:paraId="7B11C9E3" w14:textId="441F14A4" w:rsidR="00D219AA" w:rsidRPr="00A932A5" w:rsidRDefault="00D219AA" w:rsidP="00D219AA">
            <w:pPr>
              <w:rPr>
                <w:rStyle w:val="Hyperlink"/>
                <w:rFonts w:asciiTheme="minorHAnsi" w:hAnsiTheme="minorHAnsi" w:cstheme="minorHAnsi"/>
                <w:sz w:val="22"/>
                <w:szCs w:val="22"/>
                <w:u w:val="none"/>
              </w:rPr>
            </w:pPr>
            <w:hyperlink r:id="rId44">
              <w:r w:rsidRPr="00A932A5">
                <w:rPr>
                  <w:rStyle w:val="Hyperlink"/>
                  <w:rFonts w:asciiTheme="minorHAnsi" w:hAnsiTheme="minorHAnsi" w:cstheme="minorHAnsi"/>
                  <w:sz w:val="22"/>
                  <w:szCs w:val="22"/>
                  <w:u w:val="none"/>
                </w:rPr>
                <w:t>Enrollment in Course by Permission of Instructor</w:t>
              </w:r>
            </w:hyperlink>
          </w:p>
        </w:tc>
        <w:tc>
          <w:tcPr>
            <w:tcW w:w="1170" w:type="dxa"/>
            <w:vAlign w:val="center"/>
          </w:tcPr>
          <w:p w14:paraId="747B0E29" w14:textId="74884818" w:rsidR="00D219AA" w:rsidRPr="00A932A5" w:rsidRDefault="00647B7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2212</w:t>
            </w:r>
          </w:p>
        </w:tc>
        <w:tc>
          <w:tcPr>
            <w:tcW w:w="5200" w:type="dxa"/>
            <w:vAlign w:val="center"/>
          </w:tcPr>
          <w:p w14:paraId="2FDB2F1C" w14:textId="0BF1DD44"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the criteria for admission to a course by special permission.</w:t>
            </w:r>
          </w:p>
        </w:tc>
      </w:tr>
      <w:tr w:rsidR="00D219AA" w:rsidRPr="00A932A5" w14:paraId="756FED5B" w14:textId="77777777" w:rsidTr="00E71088">
        <w:trPr>
          <w:trHeight w:val="20"/>
          <w:jc w:val="center"/>
        </w:trPr>
        <w:tc>
          <w:tcPr>
            <w:tcW w:w="4405" w:type="dxa"/>
            <w:vAlign w:val="center"/>
          </w:tcPr>
          <w:p w14:paraId="6C3F19DD" w14:textId="09FF1FDB" w:rsidR="00D219AA" w:rsidRPr="00A932A5" w:rsidRDefault="00D219AA" w:rsidP="00D219AA">
            <w:pPr>
              <w:rPr>
                <w:rStyle w:val="Hyperlink"/>
                <w:rFonts w:asciiTheme="minorHAnsi" w:hAnsiTheme="minorHAnsi" w:cstheme="minorHAnsi"/>
                <w:sz w:val="22"/>
                <w:szCs w:val="22"/>
                <w:u w:val="none"/>
              </w:rPr>
            </w:pPr>
            <w:hyperlink r:id="rId45">
              <w:r w:rsidRPr="00A932A5">
                <w:rPr>
                  <w:rStyle w:val="Hyperlink"/>
                  <w:rFonts w:asciiTheme="minorHAnsi" w:hAnsiTheme="minorHAnsi" w:cstheme="minorHAnsi"/>
                  <w:sz w:val="22"/>
                  <w:szCs w:val="22"/>
                  <w:u w:val="none"/>
                </w:rPr>
                <w:t>Undergraduate Scholarship Awards</w:t>
              </w:r>
            </w:hyperlink>
          </w:p>
        </w:tc>
        <w:tc>
          <w:tcPr>
            <w:tcW w:w="1170" w:type="dxa"/>
            <w:vAlign w:val="center"/>
          </w:tcPr>
          <w:p w14:paraId="4BD03489" w14:textId="11D7D004" w:rsidR="00D219AA" w:rsidRPr="00A932A5" w:rsidRDefault="000D76FD"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2213</w:t>
            </w:r>
          </w:p>
        </w:tc>
        <w:tc>
          <w:tcPr>
            <w:tcW w:w="5200" w:type="dxa"/>
            <w:vAlign w:val="center"/>
          </w:tcPr>
          <w:p w14:paraId="0D7C525A" w14:textId="1437441D"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the criteria for awarding scholarships for University of Nebraska Foundation Scholarships and the University of Nebraska Medical Center College of Nursing Scholarships.</w:t>
            </w:r>
          </w:p>
        </w:tc>
      </w:tr>
      <w:tr w:rsidR="00D219AA" w:rsidRPr="00A932A5" w14:paraId="0ABDCE6A" w14:textId="77777777" w:rsidTr="00E71088">
        <w:trPr>
          <w:trHeight w:val="20"/>
          <w:jc w:val="center"/>
        </w:trPr>
        <w:tc>
          <w:tcPr>
            <w:tcW w:w="4405" w:type="dxa"/>
            <w:vAlign w:val="center"/>
          </w:tcPr>
          <w:p w14:paraId="61F1B1C5" w14:textId="71D949F9" w:rsidR="00D219AA" w:rsidRPr="00A932A5" w:rsidRDefault="00D219AA" w:rsidP="00D219AA">
            <w:pPr>
              <w:rPr>
                <w:rStyle w:val="Hyperlink"/>
                <w:rFonts w:asciiTheme="minorHAnsi" w:hAnsiTheme="minorHAnsi" w:cstheme="minorHAnsi"/>
                <w:sz w:val="22"/>
                <w:szCs w:val="22"/>
                <w:u w:val="none"/>
              </w:rPr>
            </w:pPr>
            <w:hyperlink r:id="rId46">
              <w:r w:rsidRPr="00A932A5">
                <w:rPr>
                  <w:rStyle w:val="Hyperlink"/>
                  <w:rFonts w:asciiTheme="minorHAnsi" w:hAnsiTheme="minorHAnsi" w:cstheme="minorHAnsi"/>
                  <w:sz w:val="22"/>
                  <w:szCs w:val="22"/>
                  <w:u w:val="none"/>
                </w:rPr>
                <w:t>Evaluation of Undergraduate Students</w:t>
              </w:r>
            </w:hyperlink>
          </w:p>
        </w:tc>
        <w:tc>
          <w:tcPr>
            <w:tcW w:w="1170" w:type="dxa"/>
            <w:vAlign w:val="center"/>
          </w:tcPr>
          <w:p w14:paraId="103DBA32" w14:textId="6E77BCD4" w:rsidR="00D219AA" w:rsidRPr="00A932A5" w:rsidRDefault="000D76FD"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2214</w:t>
            </w:r>
          </w:p>
        </w:tc>
        <w:tc>
          <w:tcPr>
            <w:tcW w:w="5200" w:type="dxa"/>
            <w:vAlign w:val="center"/>
          </w:tcPr>
          <w:p w14:paraId="2B1CCBA9" w14:textId="477511C1"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criteria for student evaluation and ongoing, systematic and comprehensive feedback regarding their performance.</w:t>
            </w:r>
          </w:p>
        </w:tc>
      </w:tr>
      <w:tr w:rsidR="00D219AA" w:rsidRPr="00A932A5" w14:paraId="46DF7AF9" w14:textId="77777777" w:rsidTr="00E71088">
        <w:trPr>
          <w:trHeight w:val="20"/>
          <w:jc w:val="center"/>
        </w:trPr>
        <w:tc>
          <w:tcPr>
            <w:tcW w:w="4405" w:type="dxa"/>
            <w:vAlign w:val="center"/>
          </w:tcPr>
          <w:p w14:paraId="2EA47EF1" w14:textId="0FB4F3DC" w:rsidR="00D219AA" w:rsidRPr="00A932A5" w:rsidRDefault="00D219AA" w:rsidP="00D219AA">
            <w:pPr>
              <w:rPr>
                <w:rStyle w:val="Hyperlink"/>
                <w:rFonts w:asciiTheme="minorHAnsi" w:hAnsiTheme="minorHAnsi" w:cstheme="minorHAnsi"/>
                <w:sz w:val="22"/>
                <w:szCs w:val="22"/>
                <w:u w:val="none"/>
              </w:rPr>
            </w:pPr>
            <w:hyperlink r:id="rId47">
              <w:r w:rsidRPr="00A932A5">
                <w:rPr>
                  <w:rStyle w:val="Hyperlink"/>
                  <w:rFonts w:asciiTheme="minorHAnsi" w:hAnsiTheme="minorHAnsi" w:cstheme="minorHAnsi"/>
                  <w:sz w:val="22"/>
                  <w:szCs w:val="22"/>
                  <w:u w:val="none"/>
                </w:rPr>
                <w:t>Undergraduate Grading System</w:t>
              </w:r>
            </w:hyperlink>
          </w:p>
        </w:tc>
        <w:tc>
          <w:tcPr>
            <w:tcW w:w="1170" w:type="dxa"/>
            <w:vAlign w:val="center"/>
          </w:tcPr>
          <w:p w14:paraId="77A6B37F" w14:textId="09D39F8D" w:rsidR="00D219AA" w:rsidRPr="00A932A5" w:rsidRDefault="000D76FD"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2215</w:t>
            </w:r>
          </w:p>
        </w:tc>
        <w:tc>
          <w:tcPr>
            <w:tcW w:w="5200" w:type="dxa"/>
            <w:vAlign w:val="center"/>
          </w:tcPr>
          <w:p w14:paraId="51410812" w14:textId="1F2D0A7E"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criteria for awarding grades, quality points, Pass/Fail, withdrawal and incomplete.</w:t>
            </w:r>
          </w:p>
        </w:tc>
      </w:tr>
      <w:tr w:rsidR="00D219AA" w:rsidRPr="00A932A5" w14:paraId="007F615D" w14:textId="77777777" w:rsidTr="00E71088">
        <w:trPr>
          <w:trHeight w:val="20"/>
          <w:jc w:val="center"/>
        </w:trPr>
        <w:tc>
          <w:tcPr>
            <w:tcW w:w="4405" w:type="dxa"/>
            <w:vAlign w:val="center"/>
          </w:tcPr>
          <w:p w14:paraId="067D7389" w14:textId="0E294E3C" w:rsidR="00D219AA" w:rsidRPr="00A932A5" w:rsidRDefault="00D219AA" w:rsidP="00D219AA">
            <w:pPr>
              <w:rPr>
                <w:rStyle w:val="Hyperlink"/>
                <w:rFonts w:asciiTheme="minorHAnsi" w:hAnsiTheme="minorHAnsi" w:cstheme="minorHAnsi"/>
                <w:sz w:val="22"/>
                <w:szCs w:val="22"/>
                <w:u w:val="none"/>
              </w:rPr>
            </w:pPr>
            <w:hyperlink r:id="rId48">
              <w:r w:rsidRPr="00A932A5">
                <w:rPr>
                  <w:rStyle w:val="Hyperlink"/>
                  <w:rFonts w:asciiTheme="minorHAnsi" w:hAnsiTheme="minorHAnsi" w:cstheme="minorHAnsi"/>
                  <w:sz w:val="22"/>
                  <w:szCs w:val="22"/>
                  <w:u w:val="none"/>
                </w:rPr>
                <w:t>Undergraduate Progression</w:t>
              </w:r>
            </w:hyperlink>
          </w:p>
        </w:tc>
        <w:tc>
          <w:tcPr>
            <w:tcW w:w="1170" w:type="dxa"/>
            <w:vAlign w:val="center"/>
          </w:tcPr>
          <w:p w14:paraId="15C5F06A" w14:textId="6E15A79E" w:rsidR="00D219AA" w:rsidRPr="00A932A5" w:rsidRDefault="000D76FD"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2216</w:t>
            </w:r>
          </w:p>
        </w:tc>
        <w:tc>
          <w:tcPr>
            <w:tcW w:w="5200" w:type="dxa"/>
            <w:vAlign w:val="center"/>
          </w:tcPr>
          <w:p w14:paraId="65A4DB56" w14:textId="7C4C9662"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 xml:space="preserve">Establishes criteria for progression in undergraduate </w:t>
            </w:r>
            <w:proofErr w:type="gramStart"/>
            <w:r w:rsidRPr="00A932A5">
              <w:rPr>
                <w:rFonts w:asciiTheme="minorHAnsi" w:hAnsiTheme="minorHAnsi" w:cstheme="minorHAnsi"/>
                <w:color w:val="444444"/>
                <w:sz w:val="22"/>
                <w:szCs w:val="22"/>
                <w:shd w:val="clear" w:color="auto" w:fill="FFFFFF"/>
              </w:rPr>
              <w:t>program</w:t>
            </w:r>
            <w:proofErr w:type="gramEnd"/>
            <w:r w:rsidRPr="00A932A5">
              <w:rPr>
                <w:rFonts w:asciiTheme="minorHAnsi" w:hAnsiTheme="minorHAnsi" w:cstheme="minorHAnsi"/>
                <w:color w:val="444444"/>
                <w:sz w:val="22"/>
                <w:szCs w:val="22"/>
                <w:shd w:val="clear" w:color="auto" w:fill="FFFFFF"/>
              </w:rPr>
              <w:t xml:space="preserve"> regarding cumulative grade point average, passing of clinical courses and documentation of immunizations and certifications.</w:t>
            </w:r>
          </w:p>
        </w:tc>
      </w:tr>
      <w:tr w:rsidR="00D219AA" w:rsidRPr="00A932A5" w14:paraId="212607C0" w14:textId="77777777" w:rsidTr="00E71088">
        <w:trPr>
          <w:trHeight w:val="20"/>
          <w:jc w:val="center"/>
        </w:trPr>
        <w:tc>
          <w:tcPr>
            <w:tcW w:w="4405" w:type="dxa"/>
            <w:vAlign w:val="center"/>
          </w:tcPr>
          <w:p w14:paraId="31C6EE93" w14:textId="0385EAE5" w:rsidR="00D219AA" w:rsidRPr="00A932A5" w:rsidRDefault="00D219AA" w:rsidP="00D219AA">
            <w:pPr>
              <w:rPr>
                <w:rStyle w:val="Hyperlink"/>
                <w:rFonts w:asciiTheme="minorHAnsi" w:hAnsiTheme="minorHAnsi" w:cstheme="minorHAnsi"/>
                <w:sz w:val="22"/>
                <w:szCs w:val="22"/>
                <w:u w:val="none"/>
              </w:rPr>
            </w:pPr>
            <w:hyperlink r:id="rId49">
              <w:r w:rsidRPr="00A932A5">
                <w:rPr>
                  <w:rStyle w:val="Hyperlink"/>
                  <w:rFonts w:asciiTheme="minorHAnsi" w:hAnsiTheme="minorHAnsi" w:cstheme="minorHAnsi"/>
                  <w:sz w:val="22"/>
                  <w:szCs w:val="22"/>
                  <w:u w:val="none"/>
                </w:rPr>
                <w:t>Undergraduate Student Grade Appeal</w:t>
              </w:r>
            </w:hyperlink>
          </w:p>
        </w:tc>
        <w:tc>
          <w:tcPr>
            <w:tcW w:w="1170" w:type="dxa"/>
            <w:vAlign w:val="center"/>
          </w:tcPr>
          <w:p w14:paraId="37BB4350" w14:textId="52398AE7" w:rsidR="00D219AA" w:rsidRPr="00A932A5" w:rsidRDefault="008869A1"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2501</w:t>
            </w:r>
          </w:p>
        </w:tc>
        <w:tc>
          <w:tcPr>
            <w:tcW w:w="5200" w:type="dxa"/>
            <w:vAlign w:val="center"/>
          </w:tcPr>
          <w:p w14:paraId="26122519" w14:textId="27891871"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opportunity for appeal of academic performance.</w:t>
            </w:r>
          </w:p>
        </w:tc>
      </w:tr>
      <w:tr w:rsidR="00BA1235" w:rsidRPr="00A932A5" w14:paraId="08D56CB4" w14:textId="77777777" w:rsidTr="00BA12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405" w:type="dxa"/>
            <w:tcBorders>
              <w:top w:val="single" w:sz="4" w:space="0" w:color="auto"/>
              <w:left w:val="single" w:sz="4" w:space="0" w:color="auto"/>
              <w:bottom w:val="single" w:sz="4" w:space="0" w:color="auto"/>
              <w:right w:val="single" w:sz="4" w:space="0" w:color="auto"/>
            </w:tcBorders>
            <w:vAlign w:val="center"/>
          </w:tcPr>
          <w:p w14:paraId="44D3A473" w14:textId="77777777" w:rsidR="00BA1235" w:rsidRPr="00432C50" w:rsidRDefault="00BA1235" w:rsidP="00BA1235">
            <w:pPr>
              <w:rPr>
                <w:rStyle w:val="Hyperlink"/>
                <w:rFonts w:asciiTheme="minorHAnsi" w:hAnsiTheme="minorHAnsi" w:cstheme="minorHAnsi"/>
                <w:color w:val="auto"/>
                <w:sz w:val="22"/>
                <w:szCs w:val="22"/>
                <w:u w:val="none"/>
              </w:rPr>
            </w:pPr>
            <w:hyperlink r:id="rId50" w:history="1">
              <w:r w:rsidRPr="00432C50">
                <w:rPr>
                  <w:rStyle w:val="Hyperlink"/>
                  <w:rFonts w:asciiTheme="minorHAnsi" w:hAnsiTheme="minorHAnsi" w:cstheme="minorHAnsi"/>
                  <w:sz w:val="22"/>
                  <w:szCs w:val="22"/>
                  <w:u w:val="none"/>
                </w:rPr>
                <w:t>Procedures for Handling Undergraduate Student Appeals of Academic Evaluations</w:t>
              </w:r>
            </w:hyperlink>
          </w:p>
        </w:tc>
        <w:tc>
          <w:tcPr>
            <w:tcW w:w="1170" w:type="dxa"/>
            <w:tcBorders>
              <w:top w:val="single" w:sz="4" w:space="0" w:color="auto"/>
              <w:left w:val="single" w:sz="4" w:space="0" w:color="auto"/>
              <w:bottom w:val="single" w:sz="4" w:space="0" w:color="auto"/>
              <w:right w:val="single" w:sz="4" w:space="0" w:color="auto"/>
            </w:tcBorders>
            <w:vAlign w:val="center"/>
          </w:tcPr>
          <w:p w14:paraId="0658B2B0" w14:textId="77777777" w:rsidR="00BA1235" w:rsidRPr="00A932A5" w:rsidRDefault="00BA1235" w:rsidP="00BA1235">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2501-PR</w:t>
            </w:r>
          </w:p>
        </w:tc>
        <w:tc>
          <w:tcPr>
            <w:tcW w:w="5200" w:type="dxa"/>
            <w:tcBorders>
              <w:top w:val="single" w:sz="4" w:space="0" w:color="auto"/>
              <w:left w:val="single" w:sz="4" w:space="0" w:color="auto"/>
              <w:bottom w:val="single" w:sz="4" w:space="0" w:color="auto"/>
              <w:right w:val="single" w:sz="4" w:space="0" w:color="auto"/>
            </w:tcBorders>
            <w:vAlign w:val="center"/>
          </w:tcPr>
          <w:p w14:paraId="13CBB46D" w14:textId="77777777" w:rsidR="00BA1235" w:rsidRPr="00A932A5" w:rsidRDefault="00BA1235" w:rsidP="00BA1235">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Provides procedures for student appeals of academic evaluations.</w:t>
            </w:r>
          </w:p>
        </w:tc>
      </w:tr>
      <w:tr w:rsidR="00D219AA" w:rsidRPr="00A932A5" w14:paraId="2A7FD0F3" w14:textId="77777777" w:rsidTr="00E71088">
        <w:trPr>
          <w:trHeight w:val="20"/>
          <w:jc w:val="center"/>
        </w:trPr>
        <w:tc>
          <w:tcPr>
            <w:tcW w:w="4405" w:type="dxa"/>
            <w:vAlign w:val="center"/>
          </w:tcPr>
          <w:p w14:paraId="73B1C012" w14:textId="3AD7F4D0" w:rsidR="00D219AA" w:rsidRPr="00A932A5" w:rsidRDefault="00D219AA" w:rsidP="00D219AA">
            <w:pPr>
              <w:rPr>
                <w:rStyle w:val="Hyperlink"/>
                <w:rFonts w:asciiTheme="minorHAnsi" w:hAnsiTheme="minorHAnsi" w:cstheme="minorHAnsi"/>
                <w:sz w:val="22"/>
                <w:szCs w:val="22"/>
                <w:u w:val="none"/>
              </w:rPr>
            </w:pPr>
            <w:hyperlink r:id="rId51" w:tooltip="CON Makeup of Clinical Laboratory" w:history="1">
              <w:r w:rsidRPr="00A932A5">
                <w:rPr>
                  <w:rStyle w:val="Hyperlink"/>
                  <w:rFonts w:asciiTheme="minorHAnsi" w:hAnsiTheme="minorHAnsi" w:cstheme="minorHAnsi"/>
                  <w:sz w:val="22"/>
                  <w:szCs w:val="22"/>
                  <w:u w:val="none"/>
                </w:rPr>
                <w:t>Makeup of Clinical Laboratory</w:t>
              </w:r>
            </w:hyperlink>
          </w:p>
        </w:tc>
        <w:tc>
          <w:tcPr>
            <w:tcW w:w="1170" w:type="dxa"/>
            <w:vAlign w:val="center"/>
          </w:tcPr>
          <w:p w14:paraId="052265B5" w14:textId="70AD48E6"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2218</w:t>
            </w:r>
          </w:p>
        </w:tc>
        <w:tc>
          <w:tcPr>
            <w:tcW w:w="5200" w:type="dxa"/>
            <w:vAlign w:val="center"/>
          </w:tcPr>
          <w:p w14:paraId="13A48B47" w14:textId="7B5B9194" w:rsidR="00D219AA" w:rsidRPr="00A932A5" w:rsidRDefault="00D219AA" w:rsidP="000C64C9">
            <w:pPr>
              <w:pStyle w:val="pf0"/>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 xml:space="preserve">Establishes </w:t>
            </w:r>
            <w:r w:rsidR="00EA2620" w:rsidRPr="00A932A5">
              <w:rPr>
                <w:rFonts w:asciiTheme="minorHAnsi" w:hAnsiTheme="minorHAnsi" w:cstheme="minorHAnsi"/>
                <w:color w:val="444444"/>
                <w:sz w:val="22"/>
                <w:szCs w:val="22"/>
              </w:rPr>
              <w:t>expectations for making up time due to absence from clinical experience.</w:t>
            </w:r>
          </w:p>
        </w:tc>
      </w:tr>
      <w:tr w:rsidR="00D219AA" w:rsidRPr="00A932A5" w14:paraId="4E6C44D5" w14:textId="77777777" w:rsidTr="00E71088">
        <w:trPr>
          <w:trHeight w:val="20"/>
          <w:jc w:val="center"/>
        </w:trPr>
        <w:tc>
          <w:tcPr>
            <w:tcW w:w="4405" w:type="dxa"/>
            <w:vAlign w:val="center"/>
          </w:tcPr>
          <w:p w14:paraId="047FCFED" w14:textId="4EA3A10C" w:rsidR="00D219AA" w:rsidRPr="00A932A5" w:rsidRDefault="00D219AA" w:rsidP="00D219AA">
            <w:pPr>
              <w:rPr>
                <w:rStyle w:val="Hyperlink"/>
                <w:rFonts w:asciiTheme="minorHAnsi" w:hAnsiTheme="minorHAnsi" w:cstheme="minorHAnsi"/>
                <w:sz w:val="22"/>
                <w:szCs w:val="22"/>
                <w:u w:val="none"/>
              </w:rPr>
            </w:pPr>
            <w:hyperlink r:id="rId52">
              <w:r w:rsidRPr="00A932A5">
                <w:rPr>
                  <w:rStyle w:val="Hyperlink"/>
                  <w:rFonts w:asciiTheme="minorHAnsi" w:hAnsiTheme="minorHAnsi" w:cstheme="minorHAnsi"/>
                  <w:sz w:val="22"/>
                  <w:szCs w:val="22"/>
                  <w:u w:val="none"/>
                </w:rPr>
                <w:t>Undergraduate Academic Probation, Dismissal, Withdrawal</w:t>
              </w:r>
            </w:hyperlink>
          </w:p>
        </w:tc>
        <w:tc>
          <w:tcPr>
            <w:tcW w:w="1170" w:type="dxa"/>
            <w:vAlign w:val="center"/>
          </w:tcPr>
          <w:p w14:paraId="36585BD0" w14:textId="1F1DF8F8"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2219</w:t>
            </w:r>
          </w:p>
        </w:tc>
        <w:tc>
          <w:tcPr>
            <w:tcW w:w="5200" w:type="dxa"/>
            <w:vAlign w:val="center"/>
          </w:tcPr>
          <w:p w14:paraId="76C7148C" w14:textId="54A8F4AD"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criteria for academic probation, academic dismissal, and readmission/reinstatement of students</w:t>
            </w:r>
          </w:p>
        </w:tc>
      </w:tr>
      <w:tr w:rsidR="00D219AA" w:rsidRPr="00A932A5" w14:paraId="1C74022D" w14:textId="77777777" w:rsidTr="00E71088">
        <w:trPr>
          <w:trHeight w:val="20"/>
          <w:jc w:val="center"/>
        </w:trPr>
        <w:tc>
          <w:tcPr>
            <w:tcW w:w="4405" w:type="dxa"/>
            <w:vAlign w:val="center"/>
          </w:tcPr>
          <w:p w14:paraId="2A997087" w14:textId="4AD6855E" w:rsidR="00D219AA" w:rsidRPr="00A932A5" w:rsidRDefault="00D219AA" w:rsidP="00D219AA">
            <w:pPr>
              <w:rPr>
                <w:rStyle w:val="Hyperlink"/>
                <w:rFonts w:asciiTheme="minorHAnsi" w:hAnsiTheme="minorHAnsi" w:cstheme="minorHAnsi"/>
                <w:sz w:val="22"/>
                <w:szCs w:val="22"/>
                <w:u w:val="none"/>
              </w:rPr>
            </w:pPr>
            <w:hyperlink r:id="rId53">
              <w:r w:rsidRPr="00A932A5">
                <w:rPr>
                  <w:rStyle w:val="Hyperlink"/>
                  <w:rFonts w:asciiTheme="minorHAnsi" w:hAnsiTheme="minorHAnsi" w:cstheme="minorHAnsi"/>
                  <w:sz w:val="22"/>
                  <w:szCs w:val="22"/>
                  <w:u w:val="none"/>
                </w:rPr>
                <w:t>Undergraduate Readmission/Reinstatement</w:t>
              </w:r>
            </w:hyperlink>
          </w:p>
        </w:tc>
        <w:tc>
          <w:tcPr>
            <w:tcW w:w="1170" w:type="dxa"/>
            <w:vAlign w:val="center"/>
          </w:tcPr>
          <w:p w14:paraId="5B7EBA04" w14:textId="7E03E2FA"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2220</w:t>
            </w:r>
          </w:p>
        </w:tc>
        <w:tc>
          <w:tcPr>
            <w:tcW w:w="5200" w:type="dxa"/>
            <w:vAlign w:val="center"/>
          </w:tcPr>
          <w:p w14:paraId="27B31687" w14:textId="59925396" w:rsidR="00D219AA" w:rsidRPr="00A932A5" w:rsidRDefault="00D219AA" w:rsidP="00D219AA">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criteria for academic suspension, academic readmission, and academic reinstatement of students</w:t>
            </w:r>
          </w:p>
        </w:tc>
      </w:tr>
      <w:tr w:rsidR="00D219AA" w:rsidRPr="00A932A5" w14:paraId="45D50BEB" w14:textId="77777777" w:rsidTr="00E71088">
        <w:trPr>
          <w:trHeight w:val="20"/>
          <w:jc w:val="center"/>
        </w:trPr>
        <w:tc>
          <w:tcPr>
            <w:tcW w:w="4405" w:type="dxa"/>
            <w:vAlign w:val="center"/>
          </w:tcPr>
          <w:p w14:paraId="2984369D" w14:textId="2BAD3AB5" w:rsidR="00D219AA" w:rsidRPr="00A932A5" w:rsidRDefault="00D219AA" w:rsidP="00D219AA">
            <w:pPr>
              <w:rPr>
                <w:rStyle w:val="Hyperlink"/>
                <w:rFonts w:asciiTheme="minorHAnsi" w:hAnsiTheme="minorHAnsi" w:cstheme="minorHAnsi"/>
                <w:sz w:val="22"/>
                <w:szCs w:val="22"/>
                <w:u w:val="none"/>
              </w:rPr>
            </w:pPr>
            <w:hyperlink r:id="rId54" w:history="1">
              <w:r w:rsidRPr="00A932A5">
                <w:rPr>
                  <w:rStyle w:val="Hyperlink"/>
                  <w:rFonts w:asciiTheme="minorHAnsi" w:hAnsiTheme="minorHAnsi" w:cstheme="minorHAnsi"/>
                  <w:sz w:val="22"/>
                  <w:szCs w:val="22"/>
                  <w:u w:val="none"/>
                </w:rPr>
                <w:t>Transfer of Division</w:t>
              </w:r>
            </w:hyperlink>
          </w:p>
        </w:tc>
        <w:tc>
          <w:tcPr>
            <w:tcW w:w="1170" w:type="dxa"/>
            <w:vAlign w:val="center"/>
          </w:tcPr>
          <w:p w14:paraId="502FFCB3" w14:textId="54C44671"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2221</w:t>
            </w:r>
          </w:p>
        </w:tc>
        <w:tc>
          <w:tcPr>
            <w:tcW w:w="5200" w:type="dxa"/>
            <w:vAlign w:val="center"/>
          </w:tcPr>
          <w:p w14:paraId="5BFE4CCC" w14:textId="72F15D6F" w:rsidR="00D219AA" w:rsidRPr="00A932A5" w:rsidRDefault="00D219AA" w:rsidP="00D219AA">
            <w:pPr>
              <w:rPr>
                <w:rFonts w:asciiTheme="minorHAnsi" w:hAnsiTheme="minorHAnsi" w:cstheme="minorHAnsi"/>
                <w:color w:val="444444"/>
                <w:sz w:val="22"/>
                <w:szCs w:val="22"/>
                <w:shd w:val="clear" w:color="auto" w:fill="FFFFFF"/>
              </w:rPr>
            </w:pPr>
            <w:proofErr w:type="gramStart"/>
            <w:r w:rsidRPr="00A932A5">
              <w:rPr>
                <w:rFonts w:asciiTheme="minorHAnsi" w:hAnsiTheme="minorHAnsi" w:cstheme="minorHAnsi"/>
                <w:color w:val="444444"/>
                <w:sz w:val="22"/>
                <w:szCs w:val="22"/>
                <w:shd w:val="clear" w:color="auto" w:fill="FFFFFF"/>
              </w:rPr>
              <w:t>Establishes</w:t>
            </w:r>
            <w:proofErr w:type="gramEnd"/>
            <w:r w:rsidRPr="00A932A5">
              <w:rPr>
                <w:rFonts w:asciiTheme="minorHAnsi" w:hAnsiTheme="minorHAnsi" w:cstheme="minorHAnsi"/>
                <w:color w:val="444444"/>
                <w:sz w:val="22"/>
                <w:szCs w:val="22"/>
                <w:shd w:val="clear" w:color="auto" w:fill="FFFFFF"/>
              </w:rPr>
              <w:t xml:space="preserve"> criteria for transferring from one campus to another</w:t>
            </w:r>
          </w:p>
        </w:tc>
      </w:tr>
      <w:tr w:rsidR="00D219AA" w:rsidRPr="00A932A5" w14:paraId="789F27B7" w14:textId="77777777" w:rsidTr="00E71088">
        <w:trPr>
          <w:trHeight w:val="20"/>
          <w:jc w:val="center"/>
        </w:trPr>
        <w:tc>
          <w:tcPr>
            <w:tcW w:w="4405" w:type="dxa"/>
            <w:vAlign w:val="center"/>
          </w:tcPr>
          <w:p w14:paraId="19372019" w14:textId="23FAC611" w:rsidR="00D219AA" w:rsidRPr="00A932A5" w:rsidRDefault="00D219AA" w:rsidP="00D219AA">
            <w:pPr>
              <w:rPr>
                <w:rStyle w:val="Hyperlink"/>
                <w:rFonts w:asciiTheme="minorHAnsi" w:hAnsiTheme="minorHAnsi" w:cstheme="minorHAnsi"/>
                <w:sz w:val="22"/>
                <w:szCs w:val="22"/>
                <w:u w:val="none"/>
              </w:rPr>
            </w:pPr>
            <w:hyperlink r:id="rId55">
              <w:r w:rsidRPr="00A932A5">
                <w:rPr>
                  <w:rStyle w:val="Hyperlink"/>
                  <w:rFonts w:asciiTheme="minorHAnsi" w:hAnsiTheme="minorHAnsi" w:cstheme="minorHAnsi"/>
                  <w:sz w:val="22"/>
                  <w:szCs w:val="22"/>
                  <w:u w:val="none"/>
                </w:rPr>
                <w:t>Dean's List</w:t>
              </w:r>
            </w:hyperlink>
          </w:p>
        </w:tc>
        <w:tc>
          <w:tcPr>
            <w:tcW w:w="1170" w:type="dxa"/>
            <w:vAlign w:val="center"/>
          </w:tcPr>
          <w:p w14:paraId="72D71DDF" w14:textId="2E2F27DE"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2222</w:t>
            </w:r>
          </w:p>
        </w:tc>
        <w:tc>
          <w:tcPr>
            <w:tcW w:w="5200" w:type="dxa"/>
            <w:vAlign w:val="center"/>
          </w:tcPr>
          <w:p w14:paraId="41A1D618" w14:textId="4EB4009D" w:rsidR="00D219AA" w:rsidRPr="00A932A5" w:rsidRDefault="00D219AA" w:rsidP="00D219AA">
            <w:pPr>
              <w:rPr>
                <w:rFonts w:asciiTheme="minorHAnsi" w:hAnsiTheme="minorHAnsi" w:cstheme="minorHAnsi"/>
                <w:color w:val="444444"/>
                <w:sz w:val="22"/>
                <w:szCs w:val="22"/>
                <w:shd w:val="clear" w:color="auto" w:fill="FFFFFF"/>
              </w:rPr>
            </w:pPr>
            <w:proofErr w:type="gramStart"/>
            <w:r w:rsidRPr="00A932A5">
              <w:rPr>
                <w:rFonts w:asciiTheme="minorHAnsi" w:hAnsiTheme="minorHAnsi" w:cstheme="minorHAnsi"/>
                <w:color w:val="444444"/>
                <w:sz w:val="22"/>
                <w:szCs w:val="22"/>
                <w:shd w:val="clear" w:color="auto" w:fill="FFFFFF"/>
              </w:rPr>
              <w:t>Establishes</w:t>
            </w:r>
            <w:proofErr w:type="gramEnd"/>
            <w:r w:rsidRPr="00A932A5">
              <w:rPr>
                <w:rFonts w:asciiTheme="minorHAnsi" w:hAnsiTheme="minorHAnsi" w:cstheme="minorHAnsi"/>
                <w:color w:val="444444"/>
                <w:sz w:val="22"/>
                <w:szCs w:val="22"/>
                <w:shd w:val="clear" w:color="auto" w:fill="FFFFFF"/>
              </w:rPr>
              <w:t xml:space="preserve"> criteria for placement on the Dean's List each semester.</w:t>
            </w:r>
          </w:p>
        </w:tc>
      </w:tr>
      <w:tr w:rsidR="00D219AA" w:rsidRPr="00A932A5" w14:paraId="5A1136E7" w14:textId="77777777" w:rsidTr="00E71088">
        <w:trPr>
          <w:trHeight w:val="20"/>
          <w:jc w:val="center"/>
        </w:trPr>
        <w:tc>
          <w:tcPr>
            <w:tcW w:w="4405" w:type="dxa"/>
            <w:vAlign w:val="center"/>
          </w:tcPr>
          <w:p w14:paraId="0CC37EE3" w14:textId="34B471D1" w:rsidR="00D219AA" w:rsidRPr="00A932A5" w:rsidRDefault="00D219AA" w:rsidP="00D219AA">
            <w:pPr>
              <w:rPr>
                <w:rStyle w:val="Hyperlink"/>
                <w:rFonts w:asciiTheme="minorHAnsi" w:hAnsiTheme="minorHAnsi" w:cstheme="minorHAnsi"/>
                <w:sz w:val="22"/>
                <w:szCs w:val="22"/>
                <w:u w:val="none"/>
              </w:rPr>
            </w:pPr>
            <w:hyperlink r:id="rId56">
              <w:r w:rsidRPr="00A932A5">
                <w:rPr>
                  <w:rStyle w:val="Hyperlink"/>
                  <w:rFonts w:asciiTheme="minorHAnsi" w:hAnsiTheme="minorHAnsi" w:cstheme="minorHAnsi"/>
                  <w:sz w:val="22"/>
                  <w:szCs w:val="22"/>
                  <w:u w:val="none"/>
                </w:rPr>
                <w:t>Requirements for Undergraduate Graduation</w:t>
              </w:r>
            </w:hyperlink>
          </w:p>
        </w:tc>
        <w:tc>
          <w:tcPr>
            <w:tcW w:w="1170" w:type="dxa"/>
            <w:vAlign w:val="center"/>
          </w:tcPr>
          <w:p w14:paraId="42E7710E" w14:textId="5D3683F3"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2223</w:t>
            </w:r>
          </w:p>
        </w:tc>
        <w:tc>
          <w:tcPr>
            <w:tcW w:w="5200" w:type="dxa"/>
            <w:vAlign w:val="center"/>
          </w:tcPr>
          <w:p w14:paraId="43E8EE77" w14:textId="60DAA60D" w:rsidR="00D219AA" w:rsidRPr="00A932A5" w:rsidRDefault="00D219AA" w:rsidP="00D219AA">
            <w:pPr>
              <w:rPr>
                <w:rFonts w:asciiTheme="minorHAnsi" w:hAnsiTheme="minorHAnsi" w:cstheme="minorHAnsi"/>
                <w:color w:val="444444"/>
                <w:sz w:val="22"/>
                <w:szCs w:val="22"/>
                <w:shd w:val="clear" w:color="auto" w:fill="FFFFFF"/>
              </w:rPr>
            </w:pPr>
            <w:proofErr w:type="gramStart"/>
            <w:r w:rsidRPr="00A932A5">
              <w:rPr>
                <w:rFonts w:asciiTheme="minorHAnsi" w:hAnsiTheme="minorHAnsi" w:cstheme="minorHAnsi"/>
                <w:color w:val="444444"/>
                <w:sz w:val="22"/>
                <w:szCs w:val="22"/>
                <w:shd w:val="clear" w:color="auto" w:fill="FFFFFF"/>
              </w:rPr>
              <w:t>Establishes</w:t>
            </w:r>
            <w:proofErr w:type="gramEnd"/>
            <w:r w:rsidRPr="00A932A5">
              <w:rPr>
                <w:rFonts w:asciiTheme="minorHAnsi" w:hAnsiTheme="minorHAnsi" w:cstheme="minorHAnsi"/>
                <w:color w:val="444444"/>
                <w:sz w:val="22"/>
                <w:szCs w:val="22"/>
                <w:shd w:val="clear" w:color="auto" w:fill="FFFFFF"/>
              </w:rPr>
              <w:t xml:space="preserve"> criteria for graduation and conferral of diploma</w:t>
            </w:r>
          </w:p>
        </w:tc>
      </w:tr>
      <w:tr w:rsidR="00D219AA" w:rsidRPr="00A932A5" w14:paraId="13060A38" w14:textId="77777777" w:rsidTr="00E71088">
        <w:trPr>
          <w:trHeight w:val="20"/>
          <w:jc w:val="center"/>
        </w:trPr>
        <w:tc>
          <w:tcPr>
            <w:tcW w:w="4405" w:type="dxa"/>
            <w:vAlign w:val="center"/>
          </w:tcPr>
          <w:p w14:paraId="6174166E" w14:textId="51BE2A19" w:rsidR="00D219AA" w:rsidRPr="00A932A5" w:rsidRDefault="00D219AA" w:rsidP="00D219AA">
            <w:pPr>
              <w:rPr>
                <w:rStyle w:val="Hyperlink"/>
                <w:rFonts w:asciiTheme="minorHAnsi" w:hAnsiTheme="minorHAnsi" w:cstheme="minorHAnsi"/>
                <w:sz w:val="22"/>
                <w:szCs w:val="22"/>
                <w:u w:val="none"/>
              </w:rPr>
            </w:pPr>
            <w:hyperlink r:id="rId57">
              <w:r w:rsidRPr="00A932A5">
                <w:rPr>
                  <w:rStyle w:val="Hyperlink"/>
                  <w:rFonts w:asciiTheme="minorHAnsi" w:hAnsiTheme="minorHAnsi" w:cstheme="minorHAnsi"/>
                  <w:sz w:val="22"/>
                  <w:szCs w:val="22"/>
                  <w:u w:val="none"/>
                </w:rPr>
                <w:t>Recognition for Outstanding Academic Achievement and Graduation with Honors</w:t>
              </w:r>
            </w:hyperlink>
          </w:p>
        </w:tc>
        <w:tc>
          <w:tcPr>
            <w:tcW w:w="1170" w:type="dxa"/>
            <w:vAlign w:val="center"/>
          </w:tcPr>
          <w:p w14:paraId="3D8D63FC" w14:textId="05279EAB"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2224</w:t>
            </w:r>
          </w:p>
        </w:tc>
        <w:tc>
          <w:tcPr>
            <w:tcW w:w="5200" w:type="dxa"/>
            <w:vAlign w:val="center"/>
          </w:tcPr>
          <w:p w14:paraId="74419535" w14:textId="468B389E" w:rsidR="00D219AA" w:rsidRPr="00A932A5" w:rsidRDefault="00D219AA" w:rsidP="00D219AA">
            <w:pPr>
              <w:rPr>
                <w:rFonts w:asciiTheme="minorHAnsi" w:hAnsiTheme="minorHAnsi" w:cstheme="minorHAnsi"/>
                <w:sz w:val="22"/>
                <w:szCs w:val="22"/>
              </w:rPr>
            </w:pPr>
            <w:r w:rsidRPr="00A932A5">
              <w:rPr>
                <w:rFonts w:asciiTheme="minorHAnsi" w:hAnsiTheme="minorHAnsi" w:cstheme="minorHAnsi"/>
                <w:color w:val="444444"/>
                <w:sz w:val="22"/>
                <w:szCs w:val="22"/>
                <w:shd w:val="clear" w:color="auto" w:fill="FFFFFF"/>
              </w:rPr>
              <w:t>Establishes criteria for graduation with honors "with highest distinction," "with high distinction," and "with distinction" for BSN and "Award of Academic Excellence" to RN to BSN students</w:t>
            </w:r>
          </w:p>
        </w:tc>
      </w:tr>
      <w:tr w:rsidR="00D219AA" w:rsidRPr="00A932A5" w14:paraId="450638E8" w14:textId="77777777" w:rsidTr="00E71088">
        <w:trPr>
          <w:trHeight w:val="20"/>
          <w:jc w:val="center"/>
        </w:trPr>
        <w:tc>
          <w:tcPr>
            <w:tcW w:w="4405" w:type="dxa"/>
            <w:vAlign w:val="center"/>
          </w:tcPr>
          <w:p w14:paraId="69C2B279" w14:textId="398E4E25" w:rsidR="00D219AA" w:rsidRPr="00A932A5" w:rsidRDefault="00D219AA" w:rsidP="00D219AA">
            <w:pPr>
              <w:rPr>
                <w:rStyle w:val="Hyperlink"/>
                <w:rFonts w:asciiTheme="minorHAnsi" w:hAnsiTheme="minorHAnsi" w:cstheme="minorHAnsi"/>
                <w:sz w:val="22"/>
                <w:szCs w:val="22"/>
                <w:u w:val="none"/>
              </w:rPr>
            </w:pPr>
            <w:hyperlink r:id="rId58">
              <w:r w:rsidRPr="00A932A5">
                <w:rPr>
                  <w:rStyle w:val="Hyperlink"/>
                  <w:rFonts w:asciiTheme="minorHAnsi" w:hAnsiTheme="minorHAnsi" w:cstheme="minorHAnsi"/>
                  <w:sz w:val="22"/>
                  <w:szCs w:val="22"/>
                  <w:u w:val="none"/>
                </w:rPr>
                <w:t>Undergraduate Professional Performance</w:t>
              </w:r>
            </w:hyperlink>
          </w:p>
        </w:tc>
        <w:tc>
          <w:tcPr>
            <w:tcW w:w="1170" w:type="dxa"/>
            <w:vAlign w:val="center"/>
          </w:tcPr>
          <w:p w14:paraId="6D45CBA2" w14:textId="2E39C937"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2225</w:t>
            </w:r>
          </w:p>
        </w:tc>
        <w:tc>
          <w:tcPr>
            <w:tcW w:w="5200" w:type="dxa"/>
            <w:vAlign w:val="center"/>
          </w:tcPr>
          <w:p w14:paraId="29A1F379" w14:textId="6F457DD9" w:rsidR="00D219AA" w:rsidRPr="00A932A5" w:rsidRDefault="00D219AA" w:rsidP="00D219AA">
            <w:pPr>
              <w:rPr>
                <w:rFonts w:asciiTheme="minorHAnsi" w:hAnsiTheme="minorHAnsi" w:cstheme="minorHAnsi"/>
                <w:sz w:val="22"/>
                <w:szCs w:val="22"/>
              </w:rPr>
            </w:pPr>
            <w:r w:rsidRPr="00A932A5">
              <w:rPr>
                <w:rFonts w:asciiTheme="minorHAnsi" w:hAnsiTheme="minorHAnsi" w:cstheme="minorHAnsi"/>
                <w:sz w:val="22"/>
                <w:szCs w:val="22"/>
              </w:rPr>
              <w:t xml:space="preserve">Establishes the expectation that students conduct themselves in a professional manner and </w:t>
            </w:r>
            <w:proofErr w:type="gramStart"/>
            <w:r w:rsidRPr="00A932A5">
              <w:rPr>
                <w:rFonts w:asciiTheme="minorHAnsi" w:hAnsiTheme="minorHAnsi" w:cstheme="minorHAnsi"/>
                <w:sz w:val="22"/>
                <w:szCs w:val="22"/>
              </w:rPr>
              <w:t>assumes</w:t>
            </w:r>
            <w:proofErr w:type="gramEnd"/>
            <w:r w:rsidRPr="00A932A5">
              <w:rPr>
                <w:rFonts w:asciiTheme="minorHAnsi" w:hAnsiTheme="minorHAnsi" w:cstheme="minorHAnsi"/>
                <w:sz w:val="22"/>
                <w:szCs w:val="22"/>
              </w:rPr>
              <w:t xml:space="preserve"> the rights and responsibilities of student citizenship.</w:t>
            </w:r>
          </w:p>
        </w:tc>
      </w:tr>
      <w:tr w:rsidR="00D219AA" w:rsidRPr="00A932A5" w14:paraId="73E1DE89" w14:textId="77777777" w:rsidTr="00E71088">
        <w:trPr>
          <w:trHeight w:val="20"/>
          <w:jc w:val="center"/>
        </w:trPr>
        <w:tc>
          <w:tcPr>
            <w:tcW w:w="4405" w:type="dxa"/>
            <w:vAlign w:val="center"/>
          </w:tcPr>
          <w:p w14:paraId="1AC1EEDB" w14:textId="6AA5BCBA" w:rsidR="00D219AA" w:rsidRPr="00A932A5" w:rsidRDefault="00D219AA" w:rsidP="00D219AA">
            <w:pPr>
              <w:rPr>
                <w:rStyle w:val="Hyperlink"/>
                <w:rFonts w:asciiTheme="minorHAnsi" w:hAnsiTheme="minorHAnsi" w:cstheme="minorHAnsi"/>
                <w:sz w:val="22"/>
                <w:szCs w:val="22"/>
                <w:u w:val="none"/>
              </w:rPr>
            </w:pPr>
            <w:hyperlink r:id="rId59">
              <w:r w:rsidRPr="00A932A5">
                <w:rPr>
                  <w:rStyle w:val="Hyperlink"/>
                  <w:rFonts w:asciiTheme="minorHAnsi" w:hAnsiTheme="minorHAnsi" w:cstheme="minorHAnsi"/>
                  <w:sz w:val="22"/>
                  <w:szCs w:val="22"/>
                  <w:u w:val="none"/>
                </w:rPr>
                <w:t>Undergraduate Simulation Hours</w:t>
              </w:r>
            </w:hyperlink>
          </w:p>
        </w:tc>
        <w:tc>
          <w:tcPr>
            <w:tcW w:w="1170" w:type="dxa"/>
            <w:vAlign w:val="center"/>
          </w:tcPr>
          <w:p w14:paraId="1CF5017B" w14:textId="50E973CB"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2226</w:t>
            </w:r>
          </w:p>
        </w:tc>
        <w:tc>
          <w:tcPr>
            <w:tcW w:w="5200" w:type="dxa"/>
            <w:vAlign w:val="center"/>
          </w:tcPr>
          <w:p w14:paraId="7E468ED1" w14:textId="2F6FA5BD" w:rsidR="00D219AA" w:rsidRPr="00A932A5" w:rsidRDefault="00D219AA" w:rsidP="00D219AA">
            <w:pPr>
              <w:rPr>
                <w:rFonts w:asciiTheme="minorHAnsi" w:hAnsiTheme="minorHAnsi" w:cstheme="minorHAnsi"/>
                <w:sz w:val="22"/>
                <w:szCs w:val="22"/>
              </w:rPr>
            </w:pPr>
            <w:r w:rsidRPr="00A932A5">
              <w:rPr>
                <w:rFonts w:asciiTheme="minorHAnsi" w:hAnsiTheme="minorHAnsi" w:cstheme="minorHAnsi"/>
                <w:sz w:val="22"/>
                <w:szCs w:val="22"/>
              </w:rPr>
              <w:t>Establishes the ratio of simulation hours to clinical clock hours. Provides simulation definitions.</w:t>
            </w:r>
          </w:p>
        </w:tc>
      </w:tr>
      <w:bookmarkStart w:id="0" w:name="_Hlk95817616"/>
      <w:tr w:rsidR="00D219AA" w:rsidRPr="00A932A5" w14:paraId="6DEF2380" w14:textId="77777777" w:rsidTr="00E71088">
        <w:trPr>
          <w:trHeight w:val="20"/>
          <w:jc w:val="center"/>
        </w:trPr>
        <w:tc>
          <w:tcPr>
            <w:tcW w:w="4405" w:type="dxa"/>
            <w:vAlign w:val="center"/>
          </w:tcPr>
          <w:p w14:paraId="3B231C4A" w14:textId="29ACD018" w:rsidR="00D219AA" w:rsidRPr="00A932A5" w:rsidRDefault="00D219AA" w:rsidP="00D219AA">
            <w:pPr>
              <w:rPr>
                <w:rStyle w:val="Hyperlink"/>
                <w:rFonts w:asciiTheme="minorHAnsi" w:hAnsiTheme="minorHAnsi" w:cstheme="minorHAnsi"/>
                <w:sz w:val="22"/>
                <w:szCs w:val="22"/>
                <w:u w:val="none"/>
              </w:rPr>
            </w:pPr>
            <w:r w:rsidRPr="00A932A5">
              <w:rPr>
                <w:rStyle w:val="Hyperlink"/>
                <w:rFonts w:asciiTheme="minorHAnsi" w:hAnsiTheme="minorHAnsi" w:cstheme="minorHAnsi"/>
                <w:sz w:val="22"/>
                <w:szCs w:val="22"/>
                <w:u w:val="none"/>
              </w:rPr>
              <w:fldChar w:fldCharType="begin"/>
            </w:r>
            <w:r w:rsidRPr="00A932A5">
              <w:rPr>
                <w:rStyle w:val="Hyperlink"/>
                <w:rFonts w:asciiTheme="minorHAnsi" w:hAnsiTheme="minorHAnsi" w:cstheme="minorHAnsi"/>
                <w:sz w:val="22"/>
                <w:szCs w:val="22"/>
                <w:u w:val="none"/>
              </w:rPr>
              <w:instrText xml:space="preserve"> HYPERLINK "https://catalog.unmc.edu/nursing/student-policies/undergraduate-testing/" </w:instrText>
            </w:r>
            <w:r w:rsidRPr="00A932A5">
              <w:rPr>
                <w:rStyle w:val="Hyperlink"/>
                <w:rFonts w:asciiTheme="minorHAnsi" w:hAnsiTheme="minorHAnsi" w:cstheme="minorHAnsi"/>
                <w:sz w:val="22"/>
                <w:szCs w:val="22"/>
                <w:u w:val="none"/>
              </w:rPr>
            </w:r>
            <w:r w:rsidRPr="00A932A5">
              <w:rPr>
                <w:rStyle w:val="Hyperlink"/>
                <w:rFonts w:asciiTheme="minorHAnsi" w:hAnsiTheme="minorHAnsi" w:cstheme="minorHAnsi"/>
                <w:sz w:val="22"/>
                <w:szCs w:val="22"/>
                <w:u w:val="none"/>
              </w:rPr>
              <w:fldChar w:fldCharType="separate"/>
            </w:r>
            <w:r w:rsidRPr="00A932A5">
              <w:rPr>
                <w:rStyle w:val="Hyperlink"/>
                <w:rFonts w:asciiTheme="minorHAnsi" w:hAnsiTheme="minorHAnsi" w:cstheme="minorHAnsi"/>
                <w:sz w:val="22"/>
                <w:szCs w:val="22"/>
                <w:u w:val="none"/>
              </w:rPr>
              <w:t>Undergraduate Testing</w:t>
            </w:r>
            <w:r w:rsidRPr="00A932A5">
              <w:rPr>
                <w:rStyle w:val="Hyperlink"/>
                <w:rFonts w:asciiTheme="minorHAnsi" w:hAnsiTheme="minorHAnsi" w:cstheme="minorHAnsi"/>
                <w:sz w:val="22"/>
                <w:szCs w:val="22"/>
                <w:u w:val="none"/>
              </w:rPr>
              <w:fldChar w:fldCharType="end"/>
            </w:r>
          </w:p>
        </w:tc>
        <w:tc>
          <w:tcPr>
            <w:tcW w:w="1170" w:type="dxa"/>
            <w:vAlign w:val="center"/>
          </w:tcPr>
          <w:p w14:paraId="4D0119B9" w14:textId="32086510" w:rsidR="00D219AA" w:rsidRPr="00A932A5" w:rsidRDefault="001D3FB3" w:rsidP="00D219AA">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2227</w:t>
            </w:r>
          </w:p>
        </w:tc>
        <w:tc>
          <w:tcPr>
            <w:tcW w:w="5200" w:type="dxa"/>
            <w:vAlign w:val="center"/>
          </w:tcPr>
          <w:p w14:paraId="3E44BC0D" w14:textId="4EC73C24" w:rsidR="00D219AA" w:rsidRPr="00A932A5" w:rsidRDefault="00D219AA" w:rsidP="00D219AA">
            <w:pPr>
              <w:rPr>
                <w:rFonts w:asciiTheme="minorHAnsi" w:hAnsiTheme="minorHAnsi" w:cstheme="minorHAnsi"/>
                <w:sz w:val="22"/>
                <w:szCs w:val="22"/>
              </w:rPr>
            </w:pPr>
            <w:r w:rsidRPr="00A932A5">
              <w:rPr>
                <w:rFonts w:asciiTheme="minorHAnsi" w:hAnsiTheme="minorHAnsi" w:cstheme="minorHAnsi"/>
                <w:color w:val="444444"/>
                <w:sz w:val="22"/>
                <w:szCs w:val="22"/>
                <w:shd w:val="clear" w:color="auto" w:fill="FFFFFF"/>
              </w:rPr>
              <w:t>Establishes criteria for testing procedures.</w:t>
            </w:r>
          </w:p>
        </w:tc>
      </w:tr>
      <w:tr w:rsidR="00744560" w:rsidRPr="00A932A5" w14:paraId="40CC0B73" w14:textId="77777777" w:rsidTr="00744560">
        <w:trPr>
          <w:trHeight w:val="20"/>
          <w:jc w:val="center"/>
        </w:trPr>
        <w:tc>
          <w:tcPr>
            <w:tcW w:w="4405" w:type="dxa"/>
            <w:tcBorders>
              <w:top w:val="single" w:sz="4" w:space="0" w:color="auto"/>
              <w:left w:val="single" w:sz="4" w:space="0" w:color="auto"/>
              <w:bottom w:val="single" w:sz="4" w:space="0" w:color="auto"/>
              <w:right w:val="single" w:sz="4" w:space="0" w:color="auto"/>
            </w:tcBorders>
            <w:vAlign w:val="center"/>
          </w:tcPr>
          <w:p w14:paraId="7673BB27" w14:textId="77777777" w:rsidR="00744560" w:rsidRPr="00432C50" w:rsidRDefault="00744560" w:rsidP="00212A95">
            <w:pPr>
              <w:rPr>
                <w:rStyle w:val="Hyperlink"/>
                <w:rFonts w:asciiTheme="minorHAnsi" w:hAnsiTheme="minorHAnsi" w:cstheme="minorHAnsi"/>
                <w:sz w:val="22"/>
                <w:szCs w:val="22"/>
                <w:u w:val="none"/>
              </w:rPr>
            </w:pPr>
            <w:hyperlink r:id="rId60" w:tooltip="CON Undergraduate/Professional Graduate Student Disciplinary Appeal" w:history="1">
              <w:r w:rsidRPr="00432C50">
                <w:rPr>
                  <w:rStyle w:val="Hyperlink"/>
                  <w:rFonts w:asciiTheme="minorHAnsi" w:hAnsiTheme="minorHAnsi" w:cstheme="minorHAnsi"/>
                  <w:sz w:val="22"/>
                  <w:szCs w:val="22"/>
                  <w:u w:val="none"/>
                </w:rPr>
                <w:t>Undergraduate/Professional Graduate Student Disciplinary Appeal</w:t>
              </w:r>
            </w:hyperlink>
          </w:p>
        </w:tc>
        <w:tc>
          <w:tcPr>
            <w:tcW w:w="1170" w:type="dxa"/>
            <w:tcBorders>
              <w:top w:val="single" w:sz="4" w:space="0" w:color="auto"/>
              <w:left w:val="single" w:sz="4" w:space="0" w:color="auto"/>
              <w:bottom w:val="single" w:sz="4" w:space="0" w:color="auto"/>
              <w:right w:val="single" w:sz="4" w:space="0" w:color="auto"/>
            </w:tcBorders>
            <w:vAlign w:val="center"/>
          </w:tcPr>
          <w:p w14:paraId="50DFAFFE" w14:textId="77777777" w:rsidR="00744560" w:rsidRPr="00A932A5" w:rsidRDefault="00744560" w:rsidP="00212A95">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2601</w:t>
            </w:r>
          </w:p>
        </w:tc>
        <w:tc>
          <w:tcPr>
            <w:tcW w:w="5200" w:type="dxa"/>
            <w:tcBorders>
              <w:top w:val="single" w:sz="4" w:space="0" w:color="auto"/>
              <w:left w:val="single" w:sz="4" w:space="0" w:color="auto"/>
              <w:bottom w:val="single" w:sz="4" w:space="0" w:color="auto"/>
              <w:right w:val="single" w:sz="4" w:space="0" w:color="auto"/>
            </w:tcBorders>
            <w:vAlign w:val="center"/>
          </w:tcPr>
          <w:p w14:paraId="306F819C" w14:textId="77777777" w:rsidR="00744560" w:rsidRPr="00A932A5" w:rsidRDefault="00744560" w:rsidP="00212A95">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Establishes a mechanism for formal student appeal of any charge(s) or disciplinary action brought against a student.</w:t>
            </w:r>
          </w:p>
        </w:tc>
      </w:tr>
      <w:tr w:rsidR="00744560" w:rsidRPr="00A932A5" w14:paraId="7321C33C" w14:textId="77777777" w:rsidTr="00744560">
        <w:trPr>
          <w:trHeight w:val="20"/>
          <w:jc w:val="center"/>
        </w:trPr>
        <w:tc>
          <w:tcPr>
            <w:tcW w:w="4405" w:type="dxa"/>
            <w:tcBorders>
              <w:top w:val="single" w:sz="4" w:space="0" w:color="auto"/>
              <w:left w:val="single" w:sz="4" w:space="0" w:color="auto"/>
              <w:bottom w:val="single" w:sz="4" w:space="0" w:color="auto"/>
              <w:right w:val="single" w:sz="4" w:space="0" w:color="auto"/>
            </w:tcBorders>
            <w:vAlign w:val="center"/>
          </w:tcPr>
          <w:p w14:paraId="6EE00315" w14:textId="77777777" w:rsidR="00744560" w:rsidRPr="00432C50" w:rsidRDefault="00744560" w:rsidP="00212A95">
            <w:pPr>
              <w:rPr>
                <w:rFonts w:asciiTheme="minorHAnsi" w:hAnsiTheme="minorHAnsi" w:cstheme="minorHAnsi"/>
                <w:color w:val="0000FF"/>
                <w:sz w:val="22"/>
                <w:szCs w:val="22"/>
              </w:rPr>
            </w:pPr>
            <w:hyperlink r:id="rId61" w:history="1">
              <w:r w:rsidRPr="00432C50">
                <w:rPr>
                  <w:rStyle w:val="Hyperlink"/>
                  <w:rFonts w:asciiTheme="minorHAnsi" w:hAnsiTheme="minorHAnsi" w:cstheme="minorHAnsi"/>
                  <w:sz w:val="22"/>
                  <w:szCs w:val="22"/>
                  <w:u w:val="none"/>
                </w:rPr>
                <w:t>Student Formal Complaints and Formal Grievances</w:t>
              </w:r>
            </w:hyperlink>
          </w:p>
        </w:tc>
        <w:tc>
          <w:tcPr>
            <w:tcW w:w="1170" w:type="dxa"/>
            <w:tcBorders>
              <w:top w:val="single" w:sz="4" w:space="0" w:color="auto"/>
              <w:left w:val="single" w:sz="4" w:space="0" w:color="auto"/>
              <w:bottom w:val="single" w:sz="4" w:space="0" w:color="auto"/>
              <w:right w:val="single" w:sz="4" w:space="0" w:color="auto"/>
            </w:tcBorders>
            <w:vAlign w:val="center"/>
          </w:tcPr>
          <w:p w14:paraId="22E32156" w14:textId="77777777" w:rsidR="00744560" w:rsidRPr="00A932A5" w:rsidRDefault="00744560" w:rsidP="00212A95">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2602</w:t>
            </w:r>
          </w:p>
        </w:tc>
        <w:tc>
          <w:tcPr>
            <w:tcW w:w="5200" w:type="dxa"/>
            <w:tcBorders>
              <w:top w:val="single" w:sz="4" w:space="0" w:color="auto"/>
              <w:left w:val="single" w:sz="4" w:space="0" w:color="auto"/>
              <w:bottom w:val="single" w:sz="4" w:space="0" w:color="auto"/>
              <w:right w:val="single" w:sz="4" w:space="0" w:color="auto"/>
            </w:tcBorders>
            <w:vAlign w:val="center"/>
          </w:tcPr>
          <w:p w14:paraId="7E829883" w14:textId="77777777" w:rsidR="00744560" w:rsidRPr="00A932A5" w:rsidRDefault="00744560" w:rsidP="00212A95">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Students can provide formal complaints or formal grievances.</w:t>
            </w:r>
          </w:p>
        </w:tc>
      </w:tr>
      <w:tr w:rsidR="00744560" w:rsidRPr="00A932A5" w14:paraId="0E3C7A88" w14:textId="77777777" w:rsidTr="00744560">
        <w:trPr>
          <w:trHeight w:val="20"/>
          <w:jc w:val="center"/>
        </w:trPr>
        <w:tc>
          <w:tcPr>
            <w:tcW w:w="4405" w:type="dxa"/>
            <w:tcBorders>
              <w:top w:val="single" w:sz="4" w:space="0" w:color="auto"/>
              <w:left w:val="single" w:sz="4" w:space="0" w:color="auto"/>
              <w:bottom w:val="single" w:sz="4" w:space="0" w:color="auto"/>
              <w:right w:val="single" w:sz="4" w:space="0" w:color="auto"/>
            </w:tcBorders>
            <w:vAlign w:val="center"/>
          </w:tcPr>
          <w:p w14:paraId="714BD97E" w14:textId="77777777" w:rsidR="00744560" w:rsidRPr="00432C50" w:rsidRDefault="00744560" w:rsidP="00212A95">
            <w:pPr>
              <w:rPr>
                <w:rStyle w:val="Hyperlink"/>
                <w:rFonts w:asciiTheme="minorHAnsi" w:hAnsiTheme="minorHAnsi" w:cstheme="minorHAnsi"/>
                <w:sz w:val="22"/>
                <w:szCs w:val="22"/>
                <w:u w:val="none"/>
              </w:rPr>
            </w:pPr>
            <w:hyperlink r:id="rId62" w:history="1">
              <w:r w:rsidRPr="00432C50">
                <w:rPr>
                  <w:rStyle w:val="Hyperlink"/>
                  <w:rFonts w:asciiTheme="minorHAnsi" w:hAnsiTheme="minorHAnsi" w:cstheme="minorHAnsi"/>
                  <w:sz w:val="22"/>
                  <w:szCs w:val="22"/>
                  <w:u w:val="none"/>
                </w:rPr>
                <w:t>Student Complaint Procedure</w:t>
              </w:r>
            </w:hyperlink>
          </w:p>
        </w:tc>
        <w:tc>
          <w:tcPr>
            <w:tcW w:w="1170" w:type="dxa"/>
            <w:tcBorders>
              <w:top w:val="single" w:sz="4" w:space="0" w:color="auto"/>
              <w:left w:val="single" w:sz="4" w:space="0" w:color="auto"/>
              <w:bottom w:val="single" w:sz="4" w:space="0" w:color="auto"/>
              <w:right w:val="single" w:sz="4" w:space="0" w:color="auto"/>
            </w:tcBorders>
            <w:vAlign w:val="center"/>
          </w:tcPr>
          <w:p w14:paraId="05E3AAFE" w14:textId="77777777" w:rsidR="00744560" w:rsidRPr="00A932A5" w:rsidRDefault="00744560" w:rsidP="00212A95">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2602-PR1</w:t>
            </w:r>
          </w:p>
        </w:tc>
        <w:tc>
          <w:tcPr>
            <w:tcW w:w="5200" w:type="dxa"/>
            <w:tcBorders>
              <w:top w:val="single" w:sz="4" w:space="0" w:color="auto"/>
              <w:left w:val="single" w:sz="4" w:space="0" w:color="auto"/>
              <w:bottom w:val="single" w:sz="4" w:space="0" w:color="auto"/>
              <w:right w:val="single" w:sz="4" w:space="0" w:color="auto"/>
            </w:tcBorders>
            <w:vAlign w:val="center"/>
          </w:tcPr>
          <w:p w14:paraId="0A237B43" w14:textId="77777777" w:rsidR="00744560" w:rsidRPr="00A932A5" w:rsidRDefault="00744560" w:rsidP="00212A95">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Details the procedure for a student to resolve a complaint or report a formal complaint against a student, faculty or staff member.</w:t>
            </w:r>
          </w:p>
        </w:tc>
      </w:tr>
      <w:tr w:rsidR="00744560" w:rsidRPr="00A932A5" w14:paraId="670B30DA" w14:textId="77777777" w:rsidTr="00744560">
        <w:trPr>
          <w:trHeight w:val="20"/>
          <w:jc w:val="center"/>
        </w:trPr>
        <w:tc>
          <w:tcPr>
            <w:tcW w:w="4405" w:type="dxa"/>
            <w:tcBorders>
              <w:top w:val="single" w:sz="4" w:space="0" w:color="auto"/>
              <w:left w:val="single" w:sz="4" w:space="0" w:color="auto"/>
              <w:bottom w:val="single" w:sz="4" w:space="0" w:color="auto"/>
              <w:right w:val="single" w:sz="4" w:space="0" w:color="auto"/>
            </w:tcBorders>
            <w:vAlign w:val="center"/>
          </w:tcPr>
          <w:p w14:paraId="413567EE" w14:textId="77777777" w:rsidR="00744560" w:rsidRPr="00432C50" w:rsidRDefault="00744560" w:rsidP="00212A95">
            <w:pPr>
              <w:rPr>
                <w:rStyle w:val="Hyperlink"/>
                <w:rFonts w:asciiTheme="minorHAnsi" w:hAnsiTheme="minorHAnsi" w:cstheme="minorHAnsi"/>
                <w:sz w:val="22"/>
                <w:szCs w:val="22"/>
                <w:u w:val="none"/>
              </w:rPr>
            </w:pPr>
            <w:hyperlink r:id="rId63" w:history="1">
              <w:r w:rsidRPr="00432C50">
                <w:rPr>
                  <w:rStyle w:val="Hyperlink"/>
                  <w:rFonts w:asciiTheme="minorHAnsi" w:hAnsiTheme="minorHAnsi" w:cstheme="minorHAnsi"/>
                  <w:sz w:val="22"/>
                  <w:szCs w:val="22"/>
                  <w:u w:val="none"/>
                </w:rPr>
                <w:t>Student Grievance Procedure</w:t>
              </w:r>
            </w:hyperlink>
          </w:p>
        </w:tc>
        <w:tc>
          <w:tcPr>
            <w:tcW w:w="1170" w:type="dxa"/>
            <w:tcBorders>
              <w:top w:val="single" w:sz="4" w:space="0" w:color="auto"/>
              <w:left w:val="single" w:sz="4" w:space="0" w:color="auto"/>
              <w:bottom w:val="single" w:sz="4" w:space="0" w:color="auto"/>
              <w:right w:val="single" w:sz="4" w:space="0" w:color="auto"/>
            </w:tcBorders>
            <w:vAlign w:val="center"/>
          </w:tcPr>
          <w:p w14:paraId="38E0FBF7" w14:textId="77777777" w:rsidR="00744560" w:rsidRPr="00A932A5" w:rsidRDefault="00744560" w:rsidP="00212A95">
            <w:pPr>
              <w:rPr>
                <w:rFonts w:asciiTheme="minorHAnsi" w:hAnsiTheme="minorHAnsi" w:cstheme="minorHAnsi"/>
                <w:color w:val="000000"/>
                <w:sz w:val="22"/>
                <w:szCs w:val="22"/>
              </w:rPr>
            </w:pPr>
            <w:r w:rsidRPr="00A932A5">
              <w:rPr>
                <w:rFonts w:asciiTheme="minorHAnsi" w:hAnsiTheme="minorHAnsi" w:cstheme="minorHAnsi"/>
                <w:color w:val="000000"/>
                <w:sz w:val="22"/>
                <w:szCs w:val="22"/>
              </w:rPr>
              <w:t>2602-PR2</w:t>
            </w:r>
          </w:p>
        </w:tc>
        <w:tc>
          <w:tcPr>
            <w:tcW w:w="5200" w:type="dxa"/>
            <w:tcBorders>
              <w:top w:val="single" w:sz="4" w:space="0" w:color="auto"/>
              <w:left w:val="single" w:sz="4" w:space="0" w:color="auto"/>
              <w:bottom w:val="single" w:sz="4" w:space="0" w:color="auto"/>
              <w:right w:val="single" w:sz="4" w:space="0" w:color="auto"/>
            </w:tcBorders>
            <w:vAlign w:val="center"/>
          </w:tcPr>
          <w:p w14:paraId="2A2EF8CA" w14:textId="77777777" w:rsidR="00744560" w:rsidRPr="00A932A5" w:rsidRDefault="00744560" w:rsidP="00212A95">
            <w:pPr>
              <w:rPr>
                <w:rFonts w:asciiTheme="minorHAnsi" w:hAnsiTheme="minorHAnsi" w:cstheme="minorHAnsi"/>
                <w:color w:val="444444"/>
                <w:sz w:val="22"/>
                <w:szCs w:val="22"/>
                <w:shd w:val="clear" w:color="auto" w:fill="FFFFFF"/>
              </w:rPr>
            </w:pPr>
            <w:r w:rsidRPr="00A932A5">
              <w:rPr>
                <w:rFonts w:asciiTheme="minorHAnsi" w:hAnsiTheme="minorHAnsi" w:cstheme="minorHAnsi"/>
                <w:color w:val="444444"/>
                <w:sz w:val="22"/>
                <w:szCs w:val="22"/>
                <w:shd w:val="clear" w:color="auto" w:fill="FFFFFF"/>
              </w:rPr>
              <w:t>Details the procedure for a student to resolve a grievance or report a formal grievance against a student, faculty or staff member.</w:t>
            </w:r>
          </w:p>
        </w:tc>
      </w:tr>
      <w:bookmarkEnd w:id="0"/>
      <w:tr w:rsidR="00D219AA" w:rsidRPr="00A932A5" w14:paraId="59E583C6" w14:textId="77777777" w:rsidTr="00E71088">
        <w:trPr>
          <w:trHeight w:val="20"/>
          <w:jc w:val="center"/>
        </w:trPr>
        <w:tc>
          <w:tcPr>
            <w:tcW w:w="4405" w:type="dxa"/>
            <w:vAlign w:val="center"/>
          </w:tcPr>
          <w:p w14:paraId="3F1E75BF" w14:textId="5CAEEA84" w:rsidR="00D219AA" w:rsidRPr="00A932A5" w:rsidRDefault="00D219AA" w:rsidP="00D219AA">
            <w:pPr>
              <w:rPr>
                <w:rStyle w:val="Hyperlink"/>
                <w:rFonts w:asciiTheme="minorHAnsi" w:hAnsiTheme="minorHAnsi" w:cstheme="minorHAnsi"/>
                <w:sz w:val="22"/>
                <w:szCs w:val="22"/>
                <w:u w:val="none"/>
              </w:rPr>
            </w:pPr>
            <w:r w:rsidRPr="00A932A5">
              <w:rPr>
                <w:rStyle w:val="Hyperlink"/>
                <w:rFonts w:asciiTheme="minorHAnsi" w:hAnsiTheme="minorHAnsi" w:cstheme="minorHAnsi"/>
                <w:sz w:val="22"/>
                <w:szCs w:val="22"/>
                <w:u w:val="none"/>
              </w:rPr>
              <w:fldChar w:fldCharType="begin"/>
            </w:r>
            <w:r w:rsidRPr="00A932A5">
              <w:rPr>
                <w:rStyle w:val="Hyperlink"/>
                <w:rFonts w:asciiTheme="minorHAnsi" w:hAnsiTheme="minorHAnsi" w:cstheme="minorHAnsi"/>
                <w:sz w:val="22"/>
                <w:szCs w:val="22"/>
                <w:u w:val="none"/>
              </w:rPr>
              <w:instrText xml:space="preserve"> HYPERLINK "https://wiki.unmc.edu/index.php/CON_Student_Use_of_Clinically_Related_Lab_Supplies_and_Equipment" \h </w:instrText>
            </w:r>
            <w:r w:rsidRPr="00A932A5">
              <w:rPr>
                <w:rStyle w:val="Hyperlink"/>
                <w:rFonts w:asciiTheme="minorHAnsi" w:hAnsiTheme="minorHAnsi" w:cstheme="minorHAnsi"/>
                <w:sz w:val="22"/>
                <w:szCs w:val="22"/>
                <w:u w:val="none"/>
              </w:rPr>
            </w:r>
            <w:r w:rsidRPr="00A932A5">
              <w:rPr>
                <w:rStyle w:val="Hyperlink"/>
                <w:rFonts w:asciiTheme="minorHAnsi" w:hAnsiTheme="minorHAnsi" w:cstheme="minorHAnsi"/>
                <w:sz w:val="22"/>
                <w:szCs w:val="22"/>
                <w:u w:val="none"/>
              </w:rPr>
              <w:fldChar w:fldCharType="separate"/>
            </w:r>
            <w:r w:rsidRPr="00A932A5">
              <w:rPr>
                <w:rStyle w:val="Hyperlink"/>
                <w:rFonts w:asciiTheme="minorHAnsi" w:hAnsiTheme="minorHAnsi" w:cstheme="minorHAnsi"/>
                <w:sz w:val="22"/>
                <w:szCs w:val="22"/>
                <w:u w:val="none"/>
              </w:rPr>
              <w:t>Student Use of Clinically Related Lab Supplies and Equipment</w:t>
            </w:r>
            <w:r w:rsidRPr="00A932A5">
              <w:rPr>
                <w:rStyle w:val="Hyperlink"/>
                <w:rFonts w:asciiTheme="minorHAnsi" w:hAnsiTheme="minorHAnsi" w:cstheme="minorHAnsi"/>
                <w:sz w:val="22"/>
                <w:szCs w:val="22"/>
                <w:u w:val="none"/>
              </w:rPr>
              <w:fldChar w:fldCharType="end"/>
            </w:r>
          </w:p>
        </w:tc>
        <w:tc>
          <w:tcPr>
            <w:tcW w:w="1170" w:type="dxa"/>
            <w:vAlign w:val="center"/>
          </w:tcPr>
          <w:p w14:paraId="0E980026" w14:textId="1EC1C326" w:rsidR="00D219AA" w:rsidRPr="00A932A5" w:rsidRDefault="002B499D" w:rsidP="00D219AA">
            <w:pPr>
              <w:rPr>
                <w:rFonts w:asciiTheme="minorHAnsi" w:hAnsiTheme="minorHAnsi" w:cstheme="minorHAnsi"/>
                <w:sz w:val="22"/>
                <w:szCs w:val="22"/>
              </w:rPr>
            </w:pPr>
            <w:r>
              <w:rPr>
                <w:rFonts w:asciiTheme="minorHAnsi" w:hAnsiTheme="minorHAnsi" w:cstheme="minorHAnsi"/>
                <w:color w:val="000000"/>
                <w:sz w:val="22"/>
                <w:szCs w:val="22"/>
              </w:rPr>
              <w:t>3105</w:t>
            </w:r>
          </w:p>
        </w:tc>
        <w:tc>
          <w:tcPr>
            <w:tcW w:w="5200" w:type="dxa"/>
            <w:vAlign w:val="center"/>
          </w:tcPr>
          <w:p w14:paraId="784A6A86" w14:textId="2D998157" w:rsidR="00D219AA" w:rsidRPr="00A932A5" w:rsidRDefault="00D219AA" w:rsidP="00D219AA">
            <w:pPr>
              <w:rPr>
                <w:rFonts w:asciiTheme="minorHAnsi" w:hAnsiTheme="minorHAnsi" w:cstheme="minorHAnsi"/>
                <w:sz w:val="22"/>
                <w:szCs w:val="22"/>
              </w:rPr>
            </w:pPr>
            <w:r w:rsidRPr="00A932A5">
              <w:rPr>
                <w:rFonts w:asciiTheme="minorHAnsi" w:hAnsiTheme="minorHAnsi" w:cstheme="minorHAnsi"/>
                <w:color w:val="000000"/>
                <w:sz w:val="22"/>
                <w:szCs w:val="22"/>
              </w:rPr>
              <w:t>Establishes the criteria for the use of clinically related lab supplies and equipment. Provides definitions of consumable supplies and equipment.</w:t>
            </w:r>
          </w:p>
        </w:tc>
      </w:tr>
    </w:tbl>
    <w:p w14:paraId="40D2214B" w14:textId="77777777" w:rsidR="009E028C" w:rsidRPr="00432C50" w:rsidRDefault="009E028C" w:rsidP="00936021">
      <w:pPr>
        <w:autoSpaceDE w:val="0"/>
        <w:autoSpaceDN w:val="0"/>
        <w:adjustRightInd w:val="0"/>
        <w:rPr>
          <w:rFonts w:ascii="Arial" w:hAnsi="Arial"/>
          <w:color w:val="000000" w:themeColor="text1"/>
          <w:sz w:val="16"/>
          <w:szCs w:val="16"/>
        </w:rPr>
      </w:pPr>
    </w:p>
    <w:sectPr w:rsidR="009E028C" w:rsidRPr="00432C50" w:rsidSect="00F95185">
      <w:headerReference w:type="default" r:id="rId64"/>
      <w:footerReference w:type="even" r:id="rId65"/>
      <w:footerReference w:type="default" r:id="rId66"/>
      <w:headerReference w:type="first" r:id="rId67"/>
      <w:footerReference w:type="first" r:id="rId68"/>
      <w:pgSz w:w="12240" w:h="15840"/>
      <w:pgMar w:top="1296" w:right="720" w:bottom="864" w:left="720" w:header="36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14AC7" w14:textId="77777777" w:rsidR="00C82C63" w:rsidRDefault="00C82C63" w:rsidP="009E067E">
      <w:r>
        <w:separator/>
      </w:r>
    </w:p>
  </w:endnote>
  <w:endnote w:type="continuationSeparator" w:id="0">
    <w:p w14:paraId="11FB75E3" w14:textId="77777777" w:rsidR="00C82C63" w:rsidRDefault="00C82C63" w:rsidP="009E067E">
      <w:r>
        <w:continuationSeparator/>
      </w:r>
    </w:p>
  </w:endnote>
  <w:endnote w:type="continuationNotice" w:id="1">
    <w:p w14:paraId="7A6DD859" w14:textId="77777777" w:rsidR="00C82C63" w:rsidRDefault="00C82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465697"/>
      <w:docPartObj>
        <w:docPartGallery w:val="Page Numbers (Bottom of Page)"/>
        <w:docPartUnique/>
      </w:docPartObj>
    </w:sdtPr>
    <w:sdtContent>
      <w:p w14:paraId="1A32C06C" w14:textId="0C24CFAE" w:rsidR="00FC2847" w:rsidRDefault="00FC2847">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08D10E" w14:textId="77777777" w:rsidR="00FC2847" w:rsidRDefault="00FC2847" w:rsidP="00FC284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5ECF" w14:textId="095D3076" w:rsidR="00FC2847" w:rsidRPr="00FC2847" w:rsidRDefault="00000000" w:rsidP="002C7626">
    <w:pPr>
      <w:pStyle w:val="Footer"/>
      <w:framePr w:wrap="none" w:vAnchor="text" w:hAnchor="page" w:x="1462" w:y="-208"/>
      <w:rPr>
        <w:rStyle w:val="PageNumber"/>
        <w:rFonts w:ascii="Arial" w:hAnsi="Arial" w:cs="Arial"/>
        <w:color w:val="303B41" w:themeColor="text2"/>
        <w:sz w:val="16"/>
        <w:szCs w:val="16"/>
      </w:rPr>
    </w:pPr>
    <w:sdt>
      <w:sdtPr>
        <w:rPr>
          <w:rStyle w:val="PageNumber"/>
          <w:rFonts w:ascii="Arial" w:hAnsi="Arial" w:cs="Arial"/>
          <w:color w:val="303B41" w:themeColor="text2"/>
          <w:sz w:val="16"/>
          <w:szCs w:val="16"/>
        </w:rPr>
        <w:id w:val="1411353845"/>
        <w:docPartObj>
          <w:docPartGallery w:val="Page Numbers (Bottom of Page)"/>
          <w:docPartUnique/>
        </w:docPartObj>
      </w:sdtPr>
      <w:sdtContent>
        <w:r w:rsidR="00FC2847" w:rsidRPr="00FC2847">
          <w:rPr>
            <w:rStyle w:val="PageNumber"/>
            <w:rFonts w:ascii="Arial" w:hAnsi="Arial" w:cs="Arial"/>
            <w:color w:val="303B41" w:themeColor="text2"/>
            <w:sz w:val="16"/>
            <w:szCs w:val="16"/>
          </w:rPr>
          <w:fldChar w:fldCharType="begin"/>
        </w:r>
        <w:r w:rsidR="00FC2847" w:rsidRPr="00FC2847">
          <w:rPr>
            <w:rStyle w:val="PageNumber"/>
            <w:rFonts w:ascii="Arial" w:hAnsi="Arial" w:cs="Arial"/>
            <w:color w:val="303B41" w:themeColor="text2"/>
            <w:sz w:val="16"/>
            <w:szCs w:val="16"/>
          </w:rPr>
          <w:instrText xml:space="preserve"> PAGE </w:instrText>
        </w:r>
        <w:r w:rsidR="00FC2847" w:rsidRPr="00FC2847">
          <w:rPr>
            <w:rStyle w:val="PageNumber"/>
            <w:rFonts w:ascii="Arial" w:hAnsi="Arial" w:cs="Arial"/>
            <w:color w:val="303B41" w:themeColor="text2"/>
            <w:sz w:val="16"/>
            <w:szCs w:val="16"/>
          </w:rPr>
          <w:fldChar w:fldCharType="separate"/>
        </w:r>
        <w:r w:rsidR="00FC2847" w:rsidRPr="00FC2847">
          <w:rPr>
            <w:rStyle w:val="PageNumber"/>
            <w:rFonts w:ascii="Arial" w:hAnsi="Arial" w:cs="Arial"/>
            <w:noProof/>
            <w:color w:val="303B41" w:themeColor="text2"/>
            <w:sz w:val="16"/>
            <w:szCs w:val="16"/>
          </w:rPr>
          <w:t>2</w:t>
        </w:r>
        <w:r w:rsidR="00FC2847" w:rsidRPr="00FC2847">
          <w:rPr>
            <w:rStyle w:val="PageNumber"/>
            <w:rFonts w:ascii="Arial" w:hAnsi="Arial" w:cs="Arial"/>
            <w:color w:val="303B41" w:themeColor="text2"/>
            <w:sz w:val="16"/>
            <w:szCs w:val="16"/>
          </w:rPr>
          <w:fldChar w:fldCharType="end"/>
        </w:r>
        <w:r w:rsidR="00FC2847">
          <w:rPr>
            <w:rStyle w:val="PageNumber"/>
            <w:rFonts w:ascii="Arial" w:hAnsi="Arial" w:cs="Arial"/>
            <w:color w:val="303B41" w:themeColor="text2"/>
            <w:sz w:val="16"/>
            <w:szCs w:val="16"/>
            <w:lang w:val="en-US"/>
          </w:rPr>
          <w:t xml:space="preserve">  |  UNIVERSITY OF NEBRASKA MEDICAL CENTER</w:t>
        </w:r>
        <w:r w:rsidR="00FC2847" w:rsidRPr="00FC2847">
          <w:rPr>
            <w:rStyle w:val="PageNumber"/>
            <w:rFonts w:ascii="Arial" w:hAnsi="Arial" w:cs="Arial"/>
            <w:color w:val="303B41" w:themeColor="text2"/>
            <w:sz w:val="16"/>
            <w:szCs w:val="16"/>
            <w:lang w:val="en-US"/>
          </w:rPr>
          <w:t xml:space="preserve"> </w:t>
        </w:r>
      </w:sdtContent>
    </w:sdt>
  </w:p>
  <w:p w14:paraId="4B0D09E1" w14:textId="58940DD6" w:rsidR="001C1448" w:rsidRPr="002B5418" w:rsidRDefault="001C1448" w:rsidP="00FC2847">
    <w:pPr>
      <w:autoSpaceDE w:val="0"/>
      <w:autoSpaceDN w:val="0"/>
      <w:adjustRightInd w:val="0"/>
      <w:ind w:left="-1080"/>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E3DC" w14:textId="66ED92E8" w:rsidR="00A1670F" w:rsidRDefault="00A1670F">
    <w:pPr>
      <w:pStyle w:val="Footer"/>
    </w:pPr>
    <w:r>
      <w:rPr>
        <w:noProof/>
      </w:rPr>
      <w:drawing>
        <wp:anchor distT="0" distB="0" distL="114300" distR="114300" simplePos="0" relativeHeight="251658240" behindDoc="0" locked="0" layoutInCell="1" allowOverlap="1" wp14:anchorId="4329C1BF" wp14:editId="10D66A58">
          <wp:simplePos x="0" y="0"/>
          <wp:positionH relativeFrom="column">
            <wp:posOffset>5879465</wp:posOffset>
          </wp:positionH>
          <wp:positionV relativeFrom="paragraph">
            <wp:posOffset>-187325</wp:posOffset>
          </wp:positionV>
          <wp:extent cx="914400" cy="369211"/>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MC_Wordmark_rgb.jpg"/>
                  <pic:cNvPicPr/>
                </pic:nvPicPr>
                <pic:blipFill>
                  <a:blip r:embed="rId1">
                    <a:extLst>
                      <a:ext uri="{28A0092B-C50C-407E-A947-70E740481C1C}">
                        <a14:useLocalDpi xmlns:a14="http://schemas.microsoft.com/office/drawing/2010/main" val="0"/>
                      </a:ext>
                    </a:extLst>
                  </a:blip>
                  <a:stretch>
                    <a:fillRect/>
                  </a:stretch>
                </pic:blipFill>
                <pic:spPr>
                  <a:xfrm>
                    <a:off x="0" y="0"/>
                    <a:ext cx="914400" cy="36921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40FDA" w14:textId="77777777" w:rsidR="00C82C63" w:rsidRDefault="00C82C63" w:rsidP="009E067E">
      <w:r>
        <w:separator/>
      </w:r>
    </w:p>
  </w:footnote>
  <w:footnote w:type="continuationSeparator" w:id="0">
    <w:p w14:paraId="7D03F415" w14:textId="77777777" w:rsidR="00C82C63" w:rsidRDefault="00C82C63" w:rsidP="009E067E">
      <w:r>
        <w:continuationSeparator/>
      </w:r>
    </w:p>
  </w:footnote>
  <w:footnote w:type="continuationNotice" w:id="1">
    <w:p w14:paraId="73AD0ECC" w14:textId="77777777" w:rsidR="00C82C63" w:rsidRDefault="00C82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3CD0" w14:textId="5ACE505C" w:rsidR="001C1448" w:rsidRPr="00C0517A" w:rsidRDefault="00DE06AF" w:rsidP="000A374E">
    <w:pPr>
      <w:pStyle w:val="Header"/>
      <w:rPr>
        <w:rFonts w:asciiTheme="majorHAnsi" w:hAnsiTheme="majorHAnsi" w:cstheme="majorHAnsi"/>
        <w:lang w:val="en-US"/>
      </w:rPr>
    </w:pPr>
    <w:r w:rsidRPr="00C0517A">
      <w:rPr>
        <w:rFonts w:asciiTheme="majorHAnsi" w:hAnsiTheme="majorHAnsi" w:cstheme="majorHAnsi"/>
        <w:lang w:val="en-US"/>
      </w:rPr>
      <w:t>College of Nursing</w:t>
    </w:r>
  </w:p>
  <w:p w14:paraId="7A6A3C5A" w14:textId="02EF84CE" w:rsidR="00720D4A" w:rsidRPr="00C0517A" w:rsidRDefault="00DE06AF" w:rsidP="000A374E">
    <w:pPr>
      <w:pStyle w:val="Header"/>
      <w:rPr>
        <w:rFonts w:asciiTheme="majorHAnsi" w:hAnsiTheme="majorHAnsi" w:cstheme="majorHAnsi"/>
        <w:lang w:val="en-US"/>
      </w:rPr>
    </w:pPr>
    <w:r w:rsidRPr="00C0517A">
      <w:rPr>
        <w:rFonts w:asciiTheme="majorHAnsi" w:hAnsiTheme="majorHAnsi" w:cstheme="majorHAnsi"/>
        <w:lang w:val="en-US"/>
      </w:rPr>
      <w:t>Undergraduate Policy Addendum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2CCD" w14:textId="34C7482C" w:rsidR="00A1670F" w:rsidRDefault="003E2C1C">
    <w:pPr>
      <w:pStyle w:val="Header"/>
    </w:pPr>
    <w:r>
      <w:rPr>
        <w:noProof/>
      </w:rPr>
      <w:drawing>
        <wp:anchor distT="0" distB="0" distL="114300" distR="114300" simplePos="0" relativeHeight="251658241" behindDoc="0" locked="0" layoutInCell="1" allowOverlap="1" wp14:anchorId="5C2899D2" wp14:editId="76E0787D">
          <wp:simplePos x="0" y="0"/>
          <wp:positionH relativeFrom="column">
            <wp:posOffset>-228600</wp:posOffset>
          </wp:positionH>
          <wp:positionV relativeFrom="paragraph">
            <wp:posOffset>6350</wp:posOffset>
          </wp:positionV>
          <wp:extent cx="73152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C-Full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3152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EC0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5F4"/>
    <w:multiLevelType w:val="hybridMultilevel"/>
    <w:tmpl w:val="933CE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A1247"/>
    <w:multiLevelType w:val="hybridMultilevel"/>
    <w:tmpl w:val="C6F66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CE519E"/>
    <w:multiLevelType w:val="hybridMultilevel"/>
    <w:tmpl w:val="7A824C9E"/>
    <w:lvl w:ilvl="0" w:tplc="B8484188">
      <w:start w:val="1"/>
      <w:numFmt w:val="decimal"/>
      <w:lvlText w:val="%1."/>
      <w:lvlJc w:val="left"/>
      <w:pPr>
        <w:ind w:left="1500" w:hanging="360"/>
      </w:pPr>
    </w:lvl>
    <w:lvl w:ilvl="1" w:tplc="BF20EA8C">
      <w:start w:val="1"/>
      <w:numFmt w:val="lowerLetter"/>
      <w:lvlText w:val="%2."/>
      <w:lvlJc w:val="left"/>
      <w:pPr>
        <w:ind w:left="1920" w:hanging="360"/>
      </w:pPr>
    </w:lvl>
    <w:lvl w:ilvl="2" w:tplc="C610CCEA">
      <w:start w:val="1"/>
      <w:numFmt w:val="decimal"/>
      <w:lvlText w:val="%3."/>
      <w:lvlJc w:val="left"/>
      <w:pPr>
        <w:ind w:left="1500" w:hanging="360"/>
      </w:pPr>
    </w:lvl>
    <w:lvl w:ilvl="3" w:tplc="DD7EBEC4">
      <w:start w:val="1"/>
      <w:numFmt w:val="decimal"/>
      <w:lvlText w:val="%4."/>
      <w:lvlJc w:val="left"/>
      <w:pPr>
        <w:ind w:left="1500" w:hanging="360"/>
      </w:pPr>
    </w:lvl>
    <w:lvl w:ilvl="4" w:tplc="E10AD522">
      <w:start w:val="1"/>
      <w:numFmt w:val="decimal"/>
      <w:lvlText w:val="%5."/>
      <w:lvlJc w:val="left"/>
      <w:pPr>
        <w:ind w:left="1500" w:hanging="360"/>
      </w:pPr>
    </w:lvl>
    <w:lvl w:ilvl="5" w:tplc="F5A68A4C">
      <w:start w:val="1"/>
      <w:numFmt w:val="decimal"/>
      <w:lvlText w:val="%6."/>
      <w:lvlJc w:val="left"/>
      <w:pPr>
        <w:ind w:left="1500" w:hanging="360"/>
      </w:pPr>
    </w:lvl>
    <w:lvl w:ilvl="6" w:tplc="2BBE8636">
      <w:start w:val="1"/>
      <w:numFmt w:val="decimal"/>
      <w:lvlText w:val="%7."/>
      <w:lvlJc w:val="left"/>
      <w:pPr>
        <w:ind w:left="1500" w:hanging="360"/>
      </w:pPr>
    </w:lvl>
    <w:lvl w:ilvl="7" w:tplc="28162298">
      <w:start w:val="1"/>
      <w:numFmt w:val="decimal"/>
      <w:lvlText w:val="%8."/>
      <w:lvlJc w:val="left"/>
      <w:pPr>
        <w:ind w:left="1500" w:hanging="360"/>
      </w:pPr>
    </w:lvl>
    <w:lvl w:ilvl="8" w:tplc="9B28BC70">
      <w:start w:val="1"/>
      <w:numFmt w:val="decimal"/>
      <w:lvlText w:val="%9."/>
      <w:lvlJc w:val="left"/>
      <w:pPr>
        <w:ind w:left="1500" w:hanging="360"/>
      </w:pPr>
    </w:lvl>
  </w:abstractNum>
  <w:abstractNum w:abstractNumId="4" w15:restartNumberingAfterBreak="0">
    <w:nsid w:val="21A60D5E"/>
    <w:multiLevelType w:val="hybridMultilevel"/>
    <w:tmpl w:val="2A32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EB4381"/>
    <w:multiLevelType w:val="hybridMultilevel"/>
    <w:tmpl w:val="E088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02ED0"/>
    <w:multiLevelType w:val="hybridMultilevel"/>
    <w:tmpl w:val="3A50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818979">
    <w:abstractNumId w:val="0"/>
  </w:num>
  <w:num w:numId="2" w16cid:durableId="2105803849">
    <w:abstractNumId w:val="4"/>
  </w:num>
  <w:num w:numId="3" w16cid:durableId="589505725">
    <w:abstractNumId w:val="2"/>
  </w:num>
  <w:num w:numId="4" w16cid:durableId="1706907585">
    <w:abstractNumId w:val="5"/>
  </w:num>
  <w:num w:numId="5" w16cid:durableId="53087533">
    <w:abstractNumId w:val="1"/>
  </w:num>
  <w:num w:numId="6" w16cid:durableId="1916940681">
    <w:abstractNumId w:val="6"/>
  </w:num>
  <w:num w:numId="7" w16cid:durableId="1282227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A2"/>
    <w:rsid w:val="00000074"/>
    <w:rsid w:val="000057EC"/>
    <w:rsid w:val="00012F3D"/>
    <w:rsid w:val="000275F5"/>
    <w:rsid w:val="000312AD"/>
    <w:rsid w:val="0005083C"/>
    <w:rsid w:val="00055054"/>
    <w:rsid w:val="00060E81"/>
    <w:rsid w:val="00061820"/>
    <w:rsid w:val="00070C54"/>
    <w:rsid w:val="000711FE"/>
    <w:rsid w:val="00071247"/>
    <w:rsid w:val="000718B7"/>
    <w:rsid w:val="00083361"/>
    <w:rsid w:val="000945BF"/>
    <w:rsid w:val="000A374E"/>
    <w:rsid w:val="000A7380"/>
    <w:rsid w:val="000B7F61"/>
    <w:rsid w:val="000C64C9"/>
    <w:rsid w:val="000D1EDD"/>
    <w:rsid w:val="000D76FD"/>
    <w:rsid w:val="000E074D"/>
    <w:rsid w:val="000F1FF3"/>
    <w:rsid w:val="00136D97"/>
    <w:rsid w:val="0014259B"/>
    <w:rsid w:val="0015317B"/>
    <w:rsid w:val="0017186F"/>
    <w:rsid w:val="00174AD4"/>
    <w:rsid w:val="001851FE"/>
    <w:rsid w:val="00191A6A"/>
    <w:rsid w:val="0019726B"/>
    <w:rsid w:val="001B0776"/>
    <w:rsid w:val="001B3A02"/>
    <w:rsid w:val="001C1448"/>
    <w:rsid w:val="001C2684"/>
    <w:rsid w:val="001D1C00"/>
    <w:rsid w:val="001D3D7E"/>
    <w:rsid w:val="001D3FB3"/>
    <w:rsid w:val="001D7394"/>
    <w:rsid w:val="001E62B0"/>
    <w:rsid w:val="001F5E9D"/>
    <w:rsid w:val="00203978"/>
    <w:rsid w:val="00245FAE"/>
    <w:rsid w:val="00250C7A"/>
    <w:rsid w:val="00254D9A"/>
    <w:rsid w:val="00255837"/>
    <w:rsid w:val="0026361F"/>
    <w:rsid w:val="00271522"/>
    <w:rsid w:val="0028303C"/>
    <w:rsid w:val="00284F8B"/>
    <w:rsid w:val="00290737"/>
    <w:rsid w:val="00290C3C"/>
    <w:rsid w:val="00295488"/>
    <w:rsid w:val="002967AB"/>
    <w:rsid w:val="002A0D6B"/>
    <w:rsid w:val="002A65A6"/>
    <w:rsid w:val="002B499D"/>
    <w:rsid w:val="002B5418"/>
    <w:rsid w:val="002B796B"/>
    <w:rsid w:val="002C373A"/>
    <w:rsid w:val="002C7626"/>
    <w:rsid w:val="002F6705"/>
    <w:rsid w:val="00303B64"/>
    <w:rsid w:val="00305F04"/>
    <w:rsid w:val="00312556"/>
    <w:rsid w:val="003163F5"/>
    <w:rsid w:val="00325FCB"/>
    <w:rsid w:val="00340898"/>
    <w:rsid w:val="0035228F"/>
    <w:rsid w:val="00356C4F"/>
    <w:rsid w:val="003732B1"/>
    <w:rsid w:val="00374CEA"/>
    <w:rsid w:val="003907CD"/>
    <w:rsid w:val="00390B20"/>
    <w:rsid w:val="003918EC"/>
    <w:rsid w:val="00391B8B"/>
    <w:rsid w:val="003936D1"/>
    <w:rsid w:val="00396525"/>
    <w:rsid w:val="003A5339"/>
    <w:rsid w:val="003B2933"/>
    <w:rsid w:val="003B422F"/>
    <w:rsid w:val="003B6A16"/>
    <w:rsid w:val="003C0F17"/>
    <w:rsid w:val="003C1CF5"/>
    <w:rsid w:val="003C2512"/>
    <w:rsid w:val="003C2A3C"/>
    <w:rsid w:val="003D547A"/>
    <w:rsid w:val="003E2C1C"/>
    <w:rsid w:val="00407B89"/>
    <w:rsid w:val="00432C50"/>
    <w:rsid w:val="004456DE"/>
    <w:rsid w:val="00452AC8"/>
    <w:rsid w:val="00454814"/>
    <w:rsid w:val="0047589B"/>
    <w:rsid w:val="004767D6"/>
    <w:rsid w:val="00496AF4"/>
    <w:rsid w:val="004C2198"/>
    <w:rsid w:val="004C389F"/>
    <w:rsid w:val="004C4108"/>
    <w:rsid w:val="004C594A"/>
    <w:rsid w:val="004E2D99"/>
    <w:rsid w:val="004E5032"/>
    <w:rsid w:val="004F0F8C"/>
    <w:rsid w:val="00541960"/>
    <w:rsid w:val="005427C4"/>
    <w:rsid w:val="005524F7"/>
    <w:rsid w:val="00553D26"/>
    <w:rsid w:val="00565563"/>
    <w:rsid w:val="005829B1"/>
    <w:rsid w:val="005A11C8"/>
    <w:rsid w:val="005B07C2"/>
    <w:rsid w:val="005B2408"/>
    <w:rsid w:val="005C4C4F"/>
    <w:rsid w:val="005E2BF8"/>
    <w:rsid w:val="005F3E49"/>
    <w:rsid w:val="00613FAF"/>
    <w:rsid w:val="006308E7"/>
    <w:rsid w:val="0063108F"/>
    <w:rsid w:val="00636982"/>
    <w:rsid w:val="00645689"/>
    <w:rsid w:val="00647B73"/>
    <w:rsid w:val="00651662"/>
    <w:rsid w:val="006579C9"/>
    <w:rsid w:val="00667BF4"/>
    <w:rsid w:val="00682654"/>
    <w:rsid w:val="00683BBD"/>
    <w:rsid w:val="0069150C"/>
    <w:rsid w:val="00696713"/>
    <w:rsid w:val="006A1D46"/>
    <w:rsid w:val="006B4D69"/>
    <w:rsid w:val="006C1428"/>
    <w:rsid w:val="006E2089"/>
    <w:rsid w:val="006F2AA4"/>
    <w:rsid w:val="00700CF7"/>
    <w:rsid w:val="00720D4A"/>
    <w:rsid w:val="00737D61"/>
    <w:rsid w:val="00744560"/>
    <w:rsid w:val="0075680D"/>
    <w:rsid w:val="00761FBB"/>
    <w:rsid w:val="00764ADB"/>
    <w:rsid w:val="00764F33"/>
    <w:rsid w:val="007663EF"/>
    <w:rsid w:val="007663F9"/>
    <w:rsid w:val="00770220"/>
    <w:rsid w:val="00787D21"/>
    <w:rsid w:val="007A753A"/>
    <w:rsid w:val="007A7579"/>
    <w:rsid w:val="007B48A6"/>
    <w:rsid w:val="007E79B0"/>
    <w:rsid w:val="007F5744"/>
    <w:rsid w:val="007F5F57"/>
    <w:rsid w:val="00813C39"/>
    <w:rsid w:val="00814791"/>
    <w:rsid w:val="00826492"/>
    <w:rsid w:val="00833AB4"/>
    <w:rsid w:val="0083550C"/>
    <w:rsid w:val="008470FE"/>
    <w:rsid w:val="00853219"/>
    <w:rsid w:val="008542EF"/>
    <w:rsid w:val="00870EEB"/>
    <w:rsid w:val="008765B6"/>
    <w:rsid w:val="008869A1"/>
    <w:rsid w:val="008B7C1C"/>
    <w:rsid w:val="008C640D"/>
    <w:rsid w:val="008D67EF"/>
    <w:rsid w:val="008E4FF3"/>
    <w:rsid w:val="008E5EFC"/>
    <w:rsid w:val="008F33CE"/>
    <w:rsid w:val="009049F0"/>
    <w:rsid w:val="00907935"/>
    <w:rsid w:val="00911492"/>
    <w:rsid w:val="00922780"/>
    <w:rsid w:val="00936021"/>
    <w:rsid w:val="009450C4"/>
    <w:rsid w:val="009502A8"/>
    <w:rsid w:val="00956F43"/>
    <w:rsid w:val="009622BA"/>
    <w:rsid w:val="009650F7"/>
    <w:rsid w:val="00983201"/>
    <w:rsid w:val="00985A7B"/>
    <w:rsid w:val="009B3A82"/>
    <w:rsid w:val="009C4916"/>
    <w:rsid w:val="009D3C7A"/>
    <w:rsid w:val="009D4E02"/>
    <w:rsid w:val="009D6098"/>
    <w:rsid w:val="009E028C"/>
    <w:rsid w:val="009E067E"/>
    <w:rsid w:val="009E4AF8"/>
    <w:rsid w:val="009F52C9"/>
    <w:rsid w:val="00A1013E"/>
    <w:rsid w:val="00A10370"/>
    <w:rsid w:val="00A10520"/>
    <w:rsid w:val="00A111E8"/>
    <w:rsid w:val="00A12588"/>
    <w:rsid w:val="00A153C5"/>
    <w:rsid w:val="00A1670F"/>
    <w:rsid w:val="00A25205"/>
    <w:rsid w:val="00A25E67"/>
    <w:rsid w:val="00A31D2E"/>
    <w:rsid w:val="00A4288E"/>
    <w:rsid w:val="00A42DAC"/>
    <w:rsid w:val="00A44BBD"/>
    <w:rsid w:val="00A4634B"/>
    <w:rsid w:val="00A5148E"/>
    <w:rsid w:val="00A54A39"/>
    <w:rsid w:val="00A63EE1"/>
    <w:rsid w:val="00A6482C"/>
    <w:rsid w:val="00A666C3"/>
    <w:rsid w:val="00A722B5"/>
    <w:rsid w:val="00A72810"/>
    <w:rsid w:val="00A820DD"/>
    <w:rsid w:val="00A83EBB"/>
    <w:rsid w:val="00A932A5"/>
    <w:rsid w:val="00AB1EEE"/>
    <w:rsid w:val="00AD1C58"/>
    <w:rsid w:val="00AD2272"/>
    <w:rsid w:val="00AD5904"/>
    <w:rsid w:val="00AE4BCC"/>
    <w:rsid w:val="00AF2E47"/>
    <w:rsid w:val="00B0252D"/>
    <w:rsid w:val="00B1012B"/>
    <w:rsid w:val="00B106A1"/>
    <w:rsid w:val="00B17117"/>
    <w:rsid w:val="00B27E2D"/>
    <w:rsid w:val="00B34EA2"/>
    <w:rsid w:val="00B359C6"/>
    <w:rsid w:val="00B4260B"/>
    <w:rsid w:val="00B503D6"/>
    <w:rsid w:val="00B52DC2"/>
    <w:rsid w:val="00B55A73"/>
    <w:rsid w:val="00B902C0"/>
    <w:rsid w:val="00B92800"/>
    <w:rsid w:val="00BA1235"/>
    <w:rsid w:val="00BB18C0"/>
    <w:rsid w:val="00BC50C7"/>
    <w:rsid w:val="00BD6C18"/>
    <w:rsid w:val="00BE02C7"/>
    <w:rsid w:val="00BE42F0"/>
    <w:rsid w:val="00BF36CC"/>
    <w:rsid w:val="00BF42A9"/>
    <w:rsid w:val="00C0133E"/>
    <w:rsid w:val="00C0517A"/>
    <w:rsid w:val="00C10E68"/>
    <w:rsid w:val="00C230C1"/>
    <w:rsid w:val="00C23C8C"/>
    <w:rsid w:val="00C34C74"/>
    <w:rsid w:val="00C43EA6"/>
    <w:rsid w:val="00C62902"/>
    <w:rsid w:val="00C70652"/>
    <w:rsid w:val="00C70C58"/>
    <w:rsid w:val="00C7229C"/>
    <w:rsid w:val="00C72F5D"/>
    <w:rsid w:val="00C82C63"/>
    <w:rsid w:val="00C86050"/>
    <w:rsid w:val="00C86B9F"/>
    <w:rsid w:val="00C957DD"/>
    <w:rsid w:val="00CA476D"/>
    <w:rsid w:val="00CB0326"/>
    <w:rsid w:val="00CB0D12"/>
    <w:rsid w:val="00CB55D5"/>
    <w:rsid w:val="00CB6905"/>
    <w:rsid w:val="00CC1ADC"/>
    <w:rsid w:val="00CC1D11"/>
    <w:rsid w:val="00CC1E9A"/>
    <w:rsid w:val="00CC3BD6"/>
    <w:rsid w:val="00CC6440"/>
    <w:rsid w:val="00CE0EC3"/>
    <w:rsid w:val="00CE42DF"/>
    <w:rsid w:val="00CF7B99"/>
    <w:rsid w:val="00D04BFB"/>
    <w:rsid w:val="00D219AA"/>
    <w:rsid w:val="00D21FED"/>
    <w:rsid w:val="00D301D2"/>
    <w:rsid w:val="00D41175"/>
    <w:rsid w:val="00D4243B"/>
    <w:rsid w:val="00D47E1F"/>
    <w:rsid w:val="00D64532"/>
    <w:rsid w:val="00D709F8"/>
    <w:rsid w:val="00D77176"/>
    <w:rsid w:val="00D86926"/>
    <w:rsid w:val="00D954A2"/>
    <w:rsid w:val="00DB0078"/>
    <w:rsid w:val="00DB35EC"/>
    <w:rsid w:val="00DB411F"/>
    <w:rsid w:val="00DB54BF"/>
    <w:rsid w:val="00DD4499"/>
    <w:rsid w:val="00DE06AF"/>
    <w:rsid w:val="00DE79CB"/>
    <w:rsid w:val="00DF50D7"/>
    <w:rsid w:val="00E0267B"/>
    <w:rsid w:val="00E06A53"/>
    <w:rsid w:val="00E06B5E"/>
    <w:rsid w:val="00E0754D"/>
    <w:rsid w:val="00E13A5A"/>
    <w:rsid w:val="00E145C4"/>
    <w:rsid w:val="00E14F45"/>
    <w:rsid w:val="00E17996"/>
    <w:rsid w:val="00E344BE"/>
    <w:rsid w:val="00E37072"/>
    <w:rsid w:val="00E45183"/>
    <w:rsid w:val="00E45D07"/>
    <w:rsid w:val="00E51AC7"/>
    <w:rsid w:val="00E5443A"/>
    <w:rsid w:val="00E54D81"/>
    <w:rsid w:val="00E71088"/>
    <w:rsid w:val="00E75DA0"/>
    <w:rsid w:val="00E9483F"/>
    <w:rsid w:val="00E96756"/>
    <w:rsid w:val="00EA2620"/>
    <w:rsid w:val="00EA6924"/>
    <w:rsid w:val="00EB376D"/>
    <w:rsid w:val="00F0225A"/>
    <w:rsid w:val="00F4510E"/>
    <w:rsid w:val="00F47E52"/>
    <w:rsid w:val="00F56335"/>
    <w:rsid w:val="00F57896"/>
    <w:rsid w:val="00F6219D"/>
    <w:rsid w:val="00F62BBC"/>
    <w:rsid w:val="00F74071"/>
    <w:rsid w:val="00F85C39"/>
    <w:rsid w:val="00F95185"/>
    <w:rsid w:val="00FC2847"/>
    <w:rsid w:val="00FD5942"/>
    <w:rsid w:val="00FE0337"/>
    <w:rsid w:val="00FE28A1"/>
    <w:rsid w:val="015435A9"/>
    <w:rsid w:val="5526D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86115"/>
  <w15:chartTrackingRefBased/>
  <w15:docId w15:val="{2F7D84A3-E29B-48C1-86FB-59D43D4F3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E5838"/>
    <w:pPr>
      <w:keepNext/>
      <w:jc w:val="center"/>
      <w:outlineLvl w:val="0"/>
    </w:pPr>
    <w:rPr>
      <w:sz w:val="52"/>
      <w:szCs w:val="20"/>
    </w:rPr>
  </w:style>
  <w:style w:type="paragraph" w:styleId="Heading2">
    <w:name w:val="heading 2"/>
    <w:basedOn w:val="Normal"/>
    <w:next w:val="Normal"/>
    <w:link w:val="Heading2Char"/>
    <w:qFormat/>
    <w:rsid w:val="00CC1E9A"/>
    <w:pPr>
      <w:keepNext/>
      <w:spacing w:before="240" w:after="60"/>
      <w:outlineLvl w:val="1"/>
    </w:pPr>
    <w:rPr>
      <w:rFonts w:ascii="Calibri" w:eastAsia="MS Gothic"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345D"/>
    <w:rPr>
      <w:color w:val="0000FF"/>
      <w:u w:val="single"/>
    </w:rPr>
  </w:style>
  <w:style w:type="paragraph" w:styleId="NormalWeb">
    <w:name w:val="Normal (Web)"/>
    <w:basedOn w:val="Normal"/>
    <w:rsid w:val="0046159C"/>
    <w:pPr>
      <w:spacing w:before="100" w:beforeAutospacing="1" w:after="100" w:afterAutospacing="1"/>
    </w:pPr>
  </w:style>
  <w:style w:type="paragraph" w:styleId="BodyText">
    <w:name w:val="Body Text"/>
    <w:basedOn w:val="Normal"/>
    <w:rsid w:val="00046B8B"/>
    <w:rPr>
      <w:i/>
      <w:iCs/>
      <w:sz w:val="20"/>
    </w:rPr>
  </w:style>
  <w:style w:type="paragraph" w:styleId="BodyText2">
    <w:name w:val="Body Text 2"/>
    <w:basedOn w:val="Normal"/>
    <w:rsid w:val="00046B8B"/>
    <w:pPr>
      <w:spacing w:after="120" w:line="480" w:lineRule="auto"/>
    </w:pPr>
  </w:style>
  <w:style w:type="paragraph" w:styleId="Header">
    <w:name w:val="header"/>
    <w:basedOn w:val="Normal"/>
    <w:link w:val="HeaderChar"/>
    <w:rsid w:val="009E067E"/>
    <w:pPr>
      <w:tabs>
        <w:tab w:val="center" w:pos="4320"/>
        <w:tab w:val="right" w:pos="8640"/>
      </w:tabs>
    </w:pPr>
    <w:rPr>
      <w:lang w:val="x-none" w:eastAsia="x-none"/>
    </w:rPr>
  </w:style>
  <w:style w:type="character" w:customStyle="1" w:styleId="HeaderChar">
    <w:name w:val="Header Char"/>
    <w:link w:val="Header"/>
    <w:rsid w:val="009E067E"/>
    <w:rPr>
      <w:sz w:val="24"/>
      <w:szCs w:val="24"/>
    </w:rPr>
  </w:style>
  <w:style w:type="paragraph" w:styleId="Footer">
    <w:name w:val="footer"/>
    <w:basedOn w:val="Normal"/>
    <w:link w:val="FooterChar"/>
    <w:uiPriority w:val="99"/>
    <w:rsid w:val="009E067E"/>
    <w:pPr>
      <w:tabs>
        <w:tab w:val="center" w:pos="4320"/>
        <w:tab w:val="right" w:pos="8640"/>
      </w:tabs>
    </w:pPr>
    <w:rPr>
      <w:lang w:val="x-none" w:eastAsia="x-none"/>
    </w:rPr>
  </w:style>
  <w:style w:type="character" w:customStyle="1" w:styleId="FooterChar">
    <w:name w:val="Footer Char"/>
    <w:link w:val="Footer"/>
    <w:uiPriority w:val="99"/>
    <w:rsid w:val="009E067E"/>
    <w:rPr>
      <w:sz w:val="24"/>
      <w:szCs w:val="24"/>
    </w:rPr>
  </w:style>
  <w:style w:type="character" w:customStyle="1" w:styleId="Heading2Char">
    <w:name w:val="Heading 2 Char"/>
    <w:link w:val="Heading2"/>
    <w:rsid w:val="00CC1E9A"/>
    <w:rPr>
      <w:rFonts w:ascii="Calibri" w:eastAsia="MS Gothic" w:hAnsi="Calibri" w:cs="Times New Roman"/>
      <w:b/>
      <w:bCs/>
      <w:i/>
      <w:iCs/>
      <w:sz w:val="28"/>
      <w:szCs w:val="28"/>
    </w:rPr>
  </w:style>
  <w:style w:type="paragraph" w:styleId="BalloonText">
    <w:name w:val="Balloon Text"/>
    <w:basedOn w:val="Normal"/>
    <w:link w:val="BalloonTextChar"/>
    <w:rsid w:val="009B3A82"/>
    <w:rPr>
      <w:sz w:val="18"/>
      <w:szCs w:val="18"/>
    </w:rPr>
  </w:style>
  <w:style w:type="character" w:customStyle="1" w:styleId="BalloonTextChar">
    <w:name w:val="Balloon Text Char"/>
    <w:basedOn w:val="DefaultParagraphFont"/>
    <w:link w:val="BalloonText"/>
    <w:rsid w:val="009B3A82"/>
    <w:rPr>
      <w:sz w:val="18"/>
      <w:szCs w:val="18"/>
    </w:rPr>
  </w:style>
  <w:style w:type="paragraph" w:styleId="ListParagraph">
    <w:name w:val="List Paragraph"/>
    <w:basedOn w:val="Normal"/>
    <w:uiPriority w:val="34"/>
    <w:qFormat/>
    <w:rsid w:val="000718B7"/>
    <w:pPr>
      <w:ind w:left="720"/>
      <w:contextualSpacing/>
    </w:pPr>
  </w:style>
  <w:style w:type="character" w:styleId="PageNumber">
    <w:name w:val="page number"/>
    <w:basedOn w:val="DefaultParagraphFont"/>
    <w:rsid w:val="00BF36CC"/>
  </w:style>
  <w:style w:type="character" w:styleId="FollowedHyperlink">
    <w:name w:val="FollowedHyperlink"/>
    <w:basedOn w:val="DefaultParagraphFont"/>
    <w:rsid w:val="00936021"/>
    <w:rPr>
      <w:color w:val="0070C0" w:themeColor="followedHyperlink"/>
      <w:u w:val="single"/>
    </w:rPr>
  </w:style>
  <w:style w:type="character" w:styleId="UnresolvedMention">
    <w:name w:val="Unresolved Mention"/>
    <w:basedOn w:val="DefaultParagraphFont"/>
    <w:uiPriority w:val="99"/>
    <w:semiHidden/>
    <w:unhideWhenUsed/>
    <w:rsid w:val="00907935"/>
    <w:rPr>
      <w:color w:val="605E5C"/>
      <w:shd w:val="clear" w:color="auto" w:fill="E1DFDD"/>
    </w:rPr>
  </w:style>
  <w:style w:type="table" w:styleId="TableGrid">
    <w:name w:val="Table Grid"/>
    <w:basedOn w:val="TableNormal"/>
    <w:rsid w:val="00542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F3E49"/>
    <w:rPr>
      <w:sz w:val="16"/>
      <w:szCs w:val="16"/>
    </w:rPr>
  </w:style>
  <w:style w:type="paragraph" w:styleId="CommentText">
    <w:name w:val="annotation text"/>
    <w:basedOn w:val="Normal"/>
    <w:link w:val="CommentTextChar"/>
    <w:rsid w:val="005F3E49"/>
    <w:rPr>
      <w:sz w:val="20"/>
      <w:szCs w:val="20"/>
    </w:rPr>
  </w:style>
  <w:style w:type="character" w:customStyle="1" w:styleId="CommentTextChar">
    <w:name w:val="Comment Text Char"/>
    <w:basedOn w:val="DefaultParagraphFont"/>
    <w:link w:val="CommentText"/>
    <w:rsid w:val="005F3E49"/>
  </w:style>
  <w:style w:type="paragraph" w:styleId="CommentSubject">
    <w:name w:val="annotation subject"/>
    <w:basedOn w:val="CommentText"/>
    <w:next w:val="CommentText"/>
    <w:link w:val="CommentSubjectChar"/>
    <w:rsid w:val="005F3E49"/>
    <w:rPr>
      <w:b/>
      <w:bCs/>
    </w:rPr>
  </w:style>
  <w:style w:type="character" w:customStyle="1" w:styleId="CommentSubjectChar">
    <w:name w:val="Comment Subject Char"/>
    <w:basedOn w:val="CommentTextChar"/>
    <w:link w:val="CommentSubject"/>
    <w:rsid w:val="005F3E49"/>
    <w:rPr>
      <w:b/>
      <w:bCs/>
    </w:rPr>
  </w:style>
  <w:style w:type="paragraph" w:styleId="Revision">
    <w:name w:val="Revision"/>
    <w:hidden/>
    <w:uiPriority w:val="99"/>
    <w:semiHidden/>
    <w:rsid w:val="00E06A53"/>
    <w:rPr>
      <w:sz w:val="24"/>
      <w:szCs w:val="24"/>
    </w:rPr>
  </w:style>
  <w:style w:type="character" w:customStyle="1" w:styleId="cf01">
    <w:name w:val="cf01"/>
    <w:basedOn w:val="DefaultParagraphFont"/>
    <w:rsid w:val="00853219"/>
    <w:rPr>
      <w:rFonts w:ascii="Segoe UI" w:hAnsi="Segoe UI" w:cs="Segoe UI" w:hint="default"/>
      <w:color w:val="202122"/>
      <w:sz w:val="18"/>
      <w:szCs w:val="18"/>
      <w:shd w:val="clear" w:color="auto" w:fill="FFFFFF"/>
    </w:rPr>
  </w:style>
  <w:style w:type="paragraph" w:customStyle="1" w:styleId="pf0">
    <w:name w:val="pf0"/>
    <w:basedOn w:val="Normal"/>
    <w:rsid w:val="00EA2620"/>
    <w:pPr>
      <w:spacing w:before="100" w:beforeAutospacing="1" w:after="100" w:afterAutospacing="1"/>
    </w:pPr>
  </w:style>
  <w:style w:type="paragraph" w:customStyle="1" w:styleId="paragraph">
    <w:name w:val="paragraph"/>
    <w:basedOn w:val="Normal"/>
    <w:rsid w:val="00391B8B"/>
    <w:pPr>
      <w:spacing w:before="100" w:beforeAutospacing="1" w:after="100" w:afterAutospacing="1"/>
    </w:pPr>
  </w:style>
  <w:style w:type="character" w:customStyle="1" w:styleId="normaltextrun">
    <w:name w:val="normaltextrun"/>
    <w:basedOn w:val="DefaultParagraphFont"/>
    <w:rsid w:val="00391B8B"/>
  </w:style>
  <w:style w:type="character" w:customStyle="1" w:styleId="eop">
    <w:name w:val="eop"/>
    <w:basedOn w:val="DefaultParagraphFont"/>
    <w:rsid w:val="00391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1672">
      <w:bodyDiv w:val="1"/>
      <w:marLeft w:val="0"/>
      <w:marRight w:val="0"/>
      <w:marTop w:val="0"/>
      <w:marBottom w:val="0"/>
      <w:divBdr>
        <w:top w:val="none" w:sz="0" w:space="0" w:color="auto"/>
        <w:left w:val="none" w:sz="0" w:space="0" w:color="auto"/>
        <w:bottom w:val="none" w:sz="0" w:space="0" w:color="auto"/>
        <w:right w:val="none" w:sz="0" w:space="0" w:color="auto"/>
      </w:divBdr>
    </w:div>
    <w:div w:id="156387763">
      <w:bodyDiv w:val="1"/>
      <w:marLeft w:val="0"/>
      <w:marRight w:val="0"/>
      <w:marTop w:val="0"/>
      <w:marBottom w:val="0"/>
      <w:divBdr>
        <w:top w:val="none" w:sz="0" w:space="0" w:color="auto"/>
        <w:left w:val="none" w:sz="0" w:space="0" w:color="auto"/>
        <w:bottom w:val="none" w:sz="0" w:space="0" w:color="auto"/>
        <w:right w:val="none" w:sz="0" w:space="0" w:color="auto"/>
      </w:divBdr>
    </w:div>
    <w:div w:id="482233086">
      <w:bodyDiv w:val="1"/>
      <w:marLeft w:val="0"/>
      <w:marRight w:val="0"/>
      <w:marTop w:val="0"/>
      <w:marBottom w:val="0"/>
      <w:divBdr>
        <w:top w:val="none" w:sz="0" w:space="0" w:color="auto"/>
        <w:left w:val="none" w:sz="0" w:space="0" w:color="auto"/>
        <w:bottom w:val="none" w:sz="0" w:space="0" w:color="auto"/>
        <w:right w:val="none" w:sz="0" w:space="0" w:color="auto"/>
      </w:divBdr>
    </w:div>
    <w:div w:id="485165408">
      <w:bodyDiv w:val="1"/>
      <w:marLeft w:val="0"/>
      <w:marRight w:val="0"/>
      <w:marTop w:val="0"/>
      <w:marBottom w:val="0"/>
      <w:divBdr>
        <w:top w:val="none" w:sz="0" w:space="0" w:color="auto"/>
        <w:left w:val="none" w:sz="0" w:space="0" w:color="auto"/>
        <w:bottom w:val="none" w:sz="0" w:space="0" w:color="auto"/>
        <w:right w:val="none" w:sz="0" w:space="0" w:color="auto"/>
      </w:divBdr>
    </w:div>
    <w:div w:id="618295401">
      <w:bodyDiv w:val="1"/>
      <w:marLeft w:val="0"/>
      <w:marRight w:val="0"/>
      <w:marTop w:val="0"/>
      <w:marBottom w:val="0"/>
      <w:divBdr>
        <w:top w:val="none" w:sz="0" w:space="0" w:color="auto"/>
        <w:left w:val="none" w:sz="0" w:space="0" w:color="auto"/>
        <w:bottom w:val="none" w:sz="0" w:space="0" w:color="auto"/>
        <w:right w:val="none" w:sz="0" w:space="0" w:color="auto"/>
      </w:divBdr>
    </w:div>
    <w:div w:id="658389528">
      <w:bodyDiv w:val="1"/>
      <w:marLeft w:val="0"/>
      <w:marRight w:val="0"/>
      <w:marTop w:val="0"/>
      <w:marBottom w:val="0"/>
      <w:divBdr>
        <w:top w:val="none" w:sz="0" w:space="0" w:color="auto"/>
        <w:left w:val="none" w:sz="0" w:space="0" w:color="auto"/>
        <w:bottom w:val="none" w:sz="0" w:space="0" w:color="auto"/>
        <w:right w:val="none" w:sz="0" w:space="0" w:color="auto"/>
      </w:divBdr>
    </w:div>
    <w:div w:id="707143875">
      <w:bodyDiv w:val="1"/>
      <w:marLeft w:val="0"/>
      <w:marRight w:val="0"/>
      <w:marTop w:val="0"/>
      <w:marBottom w:val="0"/>
      <w:divBdr>
        <w:top w:val="none" w:sz="0" w:space="0" w:color="auto"/>
        <w:left w:val="none" w:sz="0" w:space="0" w:color="auto"/>
        <w:bottom w:val="none" w:sz="0" w:space="0" w:color="auto"/>
        <w:right w:val="none" w:sz="0" w:space="0" w:color="auto"/>
      </w:divBdr>
    </w:div>
    <w:div w:id="710345902">
      <w:bodyDiv w:val="1"/>
      <w:marLeft w:val="0"/>
      <w:marRight w:val="0"/>
      <w:marTop w:val="0"/>
      <w:marBottom w:val="0"/>
      <w:divBdr>
        <w:top w:val="none" w:sz="0" w:space="0" w:color="auto"/>
        <w:left w:val="none" w:sz="0" w:space="0" w:color="auto"/>
        <w:bottom w:val="none" w:sz="0" w:space="0" w:color="auto"/>
        <w:right w:val="none" w:sz="0" w:space="0" w:color="auto"/>
      </w:divBdr>
    </w:div>
    <w:div w:id="812335504">
      <w:bodyDiv w:val="1"/>
      <w:marLeft w:val="0"/>
      <w:marRight w:val="0"/>
      <w:marTop w:val="0"/>
      <w:marBottom w:val="0"/>
      <w:divBdr>
        <w:top w:val="none" w:sz="0" w:space="0" w:color="auto"/>
        <w:left w:val="none" w:sz="0" w:space="0" w:color="auto"/>
        <w:bottom w:val="none" w:sz="0" w:space="0" w:color="auto"/>
        <w:right w:val="none" w:sz="0" w:space="0" w:color="auto"/>
      </w:divBdr>
    </w:div>
    <w:div w:id="1643805204">
      <w:bodyDiv w:val="1"/>
      <w:marLeft w:val="0"/>
      <w:marRight w:val="0"/>
      <w:marTop w:val="0"/>
      <w:marBottom w:val="0"/>
      <w:divBdr>
        <w:top w:val="none" w:sz="0" w:space="0" w:color="auto"/>
        <w:left w:val="none" w:sz="0" w:space="0" w:color="auto"/>
        <w:bottom w:val="none" w:sz="0" w:space="0" w:color="auto"/>
        <w:right w:val="none" w:sz="0" w:space="0" w:color="auto"/>
      </w:divBdr>
      <w:divsChild>
        <w:div w:id="75521514">
          <w:marLeft w:val="0"/>
          <w:marRight w:val="0"/>
          <w:marTop w:val="0"/>
          <w:marBottom w:val="0"/>
          <w:divBdr>
            <w:top w:val="none" w:sz="0" w:space="0" w:color="auto"/>
            <w:left w:val="none" w:sz="0" w:space="0" w:color="auto"/>
            <w:bottom w:val="none" w:sz="0" w:space="0" w:color="auto"/>
            <w:right w:val="none" w:sz="0" w:space="0" w:color="auto"/>
          </w:divBdr>
          <w:divsChild>
            <w:div w:id="1279146435">
              <w:marLeft w:val="0"/>
              <w:marRight w:val="0"/>
              <w:marTop w:val="0"/>
              <w:marBottom w:val="0"/>
              <w:divBdr>
                <w:top w:val="none" w:sz="0" w:space="0" w:color="auto"/>
                <w:left w:val="none" w:sz="0" w:space="0" w:color="auto"/>
                <w:bottom w:val="none" w:sz="0" w:space="0" w:color="auto"/>
                <w:right w:val="none" w:sz="0" w:space="0" w:color="auto"/>
              </w:divBdr>
            </w:div>
          </w:divsChild>
        </w:div>
        <w:div w:id="813907613">
          <w:marLeft w:val="0"/>
          <w:marRight w:val="0"/>
          <w:marTop w:val="0"/>
          <w:marBottom w:val="0"/>
          <w:divBdr>
            <w:top w:val="none" w:sz="0" w:space="0" w:color="auto"/>
            <w:left w:val="none" w:sz="0" w:space="0" w:color="auto"/>
            <w:bottom w:val="none" w:sz="0" w:space="0" w:color="auto"/>
            <w:right w:val="none" w:sz="0" w:space="0" w:color="auto"/>
          </w:divBdr>
          <w:divsChild>
            <w:div w:id="17072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ursingworld.org/practice-policy/nursing-excellence/ethics/code-of-ethics-for-nurses/" TargetMode="External"/><Relationship Id="rId18" Type="http://schemas.openxmlformats.org/officeDocument/2006/relationships/hyperlink" Target="https://catalog.unmc.edu/general-information/student-policies-procedures/deadly-weapon/" TargetMode="External"/><Relationship Id="rId26" Type="http://schemas.openxmlformats.org/officeDocument/2006/relationships/hyperlink" Target="https://catalog.unmc.edu/nursing/student-policies/international-nursing-student-exchange/" TargetMode="External"/><Relationship Id="rId39" Type="http://schemas.openxmlformats.org/officeDocument/2006/relationships/hyperlink" Target="https://catalog.unmc.edu/nursing/student-policies/undergraduate-transfer-credit-policy/" TargetMode="External"/><Relationship Id="rId21" Type="http://schemas.openxmlformats.org/officeDocument/2006/relationships/hyperlink" Target="https://catalog.unmc.edu/nursing/student-policies/Student-Responsibility-to-Provide-Information-Policy/" TargetMode="External"/><Relationship Id="rId34" Type="http://schemas.openxmlformats.org/officeDocument/2006/relationships/hyperlink" Target="https://catalog.unmc.edu/nursing/student-policies/medication-math-competency-requirements-procedure/" TargetMode="External"/><Relationship Id="rId42" Type="http://schemas.openxmlformats.org/officeDocument/2006/relationships/hyperlink" Target="https://catalog.unmc.edu/nursing/student-policies/undergraduate-honors-admission-to-the-bsn-program-requirements-policy/" TargetMode="External"/><Relationship Id="rId47" Type="http://schemas.openxmlformats.org/officeDocument/2006/relationships/hyperlink" Target="https://catalog.unmc.edu/nursing/student-policies/undergraduate-grading-system/" TargetMode="External"/><Relationship Id="rId50" Type="http://schemas.openxmlformats.org/officeDocument/2006/relationships/hyperlink" Target="https://catalog.unmc.edu/nursing/student-policies/procedures-for-handling-undergraduate-student-appeals-of-academic-evaluations/" TargetMode="External"/><Relationship Id="rId55" Type="http://schemas.openxmlformats.org/officeDocument/2006/relationships/hyperlink" Target="https://catalog.unmc.edu/nursing/student-policies/deans-list-policy/" TargetMode="External"/><Relationship Id="rId63" Type="http://schemas.openxmlformats.org/officeDocument/2006/relationships/hyperlink" Target="https://catalog.unmc.edu/nursing/student-policies/student-grievance-procedure/" TargetMode="External"/><Relationship Id="rId68"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talog.unmc.edu/general-information/student-policies-procedures/student-accommodation-policy/" TargetMode="External"/><Relationship Id="rId29" Type="http://schemas.openxmlformats.org/officeDocument/2006/relationships/hyperlink" Target="https://catalog.unmc.edu/nursing/student-policies/access-to-student-emergency-assistance-educational-development-fun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unmc.edu/general-information/student-policies-procedures/" TargetMode="External"/><Relationship Id="rId24" Type="http://schemas.openxmlformats.org/officeDocument/2006/relationships/hyperlink" Target="https://catalog.unmc.edu/nursing/student-policies/student-ratings-of-instruction/" TargetMode="External"/><Relationship Id="rId32" Type="http://schemas.openxmlformats.org/officeDocument/2006/relationships/hyperlink" Target="https://catalog.unmc.edu/nursing/student-policies/emotional-health-policy-and-guidelines/" TargetMode="External"/><Relationship Id="rId37" Type="http://schemas.openxmlformats.org/officeDocument/2006/relationships/hyperlink" Target="https://catalog.unmc.edu/nursing/student-policies/awarding-of-credit-by-examination-for-non-nursing-courses-policy/" TargetMode="External"/><Relationship Id="rId40" Type="http://schemas.openxmlformats.org/officeDocument/2006/relationships/hyperlink" Target="https://catalog.unmc.edu/nursing/student-policies/auditing-of-courses/" TargetMode="External"/><Relationship Id="rId45" Type="http://schemas.openxmlformats.org/officeDocument/2006/relationships/hyperlink" Target="https://catalog.unmc.edu/nursing/student-policies/undergraduate-scholarship-awards-policy/" TargetMode="External"/><Relationship Id="rId53" Type="http://schemas.openxmlformats.org/officeDocument/2006/relationships/hyperlink" Target="https://catalog.unmc.edu/nursing/student-policies/undergraduate-readmission-reinstatement-policy/" TargetMode="External"/><Relationship Id="rId58" Type="http://schemas.openxmlformats.org/officeDocument/2006/relationships/hyperlink" Target="https://catalog.unmc.edu/nursing/student-policies/undergraduate-professional-performance/" TargetMode="External"/><Relationship Id="rId66"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cas-proxyweb.mcas.ms/certificate-checker?login=false&amp;originalUrl=https%3A%2F%2Fwiki.unmc.edu.mcas.ms%2Findex.php%2FUNMC_AI_Use_Guidelines%3FMcasTsid%3D20892&amp;McasCSRF=9f69443c7bfcf3730431dc744f8286068f767d77336d7442e1b3d9839a57387b" TargetMode="External"/><Relationship Id="rId23" Type="http://schemas.openxmlformats.org/officeDocument/2006/relationships/hyperlink" Target="https://catalog.unmc.edu/nursing/student-policies/course-enrollment/" TargetMode="External"/><Relationship Id="rId28" Type="http://schemas.openxmlformats.org/officeDocument/2006/relationships/hyperlink" Target="https://catalog.unmc.edu/nursing/student-policies/proctoring-process-for-off-campus-examinations/" TargetMode="External"/><Relationship Id="rId36" Type="http://schemas.openxmlformats.org/officeDocument/2006/relationships/hyperlink" Target="https://catalog.unmc.edu/nursing/student-policies/english-as-a-second-language-undergraduate-students/" TargetMode="External"/><Relationship Id="rId49" Type="http://schemas.openxmlformats.org/officeDocument/2006/relationships/hyperlink" Target="https://catalog.unmc.edu/nursing/student-policies/undergraduate-student-grade-appeal/" TargetMode="External"/><Relationship Id="rId57" Type="http://schemas.openxmlformats.org/officeDocument/2006/relationships/hyperlink" Target="https://catalog.unmc.edu/nursing/student-policies/recognition-for-outstanding-undergraduate-academic-achievement-and-graduation-with-honors-policy/" TargetMode="External"/><Relationship Id="rId61" Type="http://schemas.openxmlformats.org/officeDocument/2006/relationships/hyperlink" Target="https://catalog.unmc.edu/nursing/student-policies/student-formal-complaints-and-formal-grievances/" TargetMode="External"/><Relationship Id="rId10" Type="http://schemas.openxmlformats.org/officeDocument/2006/relationships/endnotes" Target="endnotes.xml"/><Relationship Id="rId19" Type="http://schemas.openxmlformats.org/officeDocument/2006/relationships/hyperlink" Target="https://wiki.unmc.edu/index.php/CON_Cancellation_of_Classes_or_Clinical_Experiences" TargetMode="External"/><Relationship Id="rId31" Type="http://schemas.openxmlformats.org/officeDocument/2006/relationships/hyperlink" Target="https://mcas-proxyweb.mcas.ms/certificate-checker?login=false&amp;originalUrl=https%3A%2F%2Fcatalog.unmc.edu.mcas.ms%2Fnursing%2Fstudent-policies%2Fintegrity-in-academic-work%2F%3FMcasTsid%3D20893&amp;McasCSRF=2462f24f70eaed4797f151465306c6ce821d7d7eacf474d29d1271d62dec8d69" TargetMode="External"/><Relationship Id="rId44" Type="http://schemas.openxmlformats.org/officeDocument/2006/relationships/hyperlink" Target="https://catalog.unmc.edu/nursing/student-policies/enrollment-in-course-by-permission-of-instructor/" TargetMode="External"/><Relationship Id="rId52" Type="http://schemas.openxmlformats.org/officeDocument/2006/relationships/hyperlink" Target="https://catalog.unmc.edu/nursing/student-policies/undergraduate-academic-probation-dismissal-withdrawal-policy/" TargetMode="External"/><Relationship Id="rId60" Type="http://schemas.openxmlformats.org/officeDocument/2006/relationships/hyperlink" Target="https://catalog.unmc.edu/nursing/student-policies/undergraduate-professional-graduate-student-disciplinary-appeal/"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unmc.edu/general-information/student-policies-procedures/code-of-conduct/" TargetMode="External"/><Relationship Id="rId22" Type="http://schemas.openxmlformats.org/officeDocument/2006/relationships/hyperlink" Target="https://catalog.unmc.edu/nursing/student-policies/plan-of-study-requirements-for-undergraduate-nursing-students/" TargetMode="External"/><Relationship Id="rId27" Type="http://schemas.openxmlformats.org/officeDocument/2006/relationships/hyperlink" Target="https://catalog.unmc.edu/nursing/student-policies/proctors-for-off-campus-testing/" TargetMode="External"/><Relationship Id="rId30" Type="http://schemas.openxmlformats.org/officeDocument/2006/relationships/hyperlink" Target="https://catalog.unmc.edu/nursing/student-policies/background-checks-disclosure-statements-policy/" TargetMode="External"/><Relationship Id="rId35" Type="http://schemas.openxmlformats.org/officeDocument/2006/relationships/hyperlink" Target="https://catalog.unmc.edu/nursing/student-policies/undergraduate-admission-requirements-policy/" TargetMode="External"/><Relationship Id="rId43" Type="http://schemas.openxmlformats.org/officeDocument/2006/relationships/hyperlink" Target="https://catalog.unmc.edu/nursing/student-policies/student-clinical-attire/" TargetMode="External"/><Relationship Id="rId48" Type="http://schemas.openxmlformats.org/officeDocument/2006/relationships/hyperlink" Target="https://catalog.unmc.edu/nursing/student-policies/undergraduate-progression-policy/" TargetMode="External"/><Relationship Id="rId56" Type="http://schemas.openxmlformats.org/officeDocument/2006/relationships/hyperlink" Target="https://catalog.unmc.edu/nursing/student-policies/requirements-for-undergraduate-graduation/"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atalog.unmc.edu/nursing/student-policies/makeup-of-clinical-laboratory/" TargetMode="External"/><Relationship Id="rId3" Type="http://schemas.openxmlformats.org/officeDocument/2006/relationships/customXml" Target="../customXml/item3.xml"/><Relationship Id="rId12" Type="http://schemas.openxmlformats.org/officeDocument/2006/relationships/hyperlink" Target="https://catalog.unmc.edu/nursing/student-policies/" TargetMode="External"/><Relationship Id="rId17" Type="http://schemas.openxmlformats.org/officeDocument/2006/relationships/hyperlink" Target="https://www.unmc.edu/titleix/campus-resources/index.html" TargetMode="External"/><Relationship Id="rId25" Type="http://schemas.openxmlformats.org/officeDocument/2006/relationships/hyperlink" Target="https://catalog.unmc.edu/nursing/student-policies/undergraduate-grade-of-incomplete-policy/" TargetMode="External"/><Relationship Id="rId33" Type="http://schemas.openxmlformats.org/officeDocument/2006/relationships/hyperlink" Target="https://catalog.unmc.edu/nursing/student-policies/technical-standards-for-undergraduate-program/" TargetMode="External"/><Relationship Id="rId38" Type="http://schemas.openxmlformats.org/officeDocument/2006/relationships/hyperlink" Target="https://catalog.unmc.edu/nursing/student-policies/advanced-placement-policy/" TargetMode="External"/><Relationship Id="rId46" Type="http://schemas.openxmlformats.org/officeDocument/2006/relationships/hyperlink" Target="https://catalog.unmc.edu/nursing/student-policies/evaluation-of-undergraduate-students/" TargetMode="External"/><Relationship Id="rId59" Type="http://schemas.openxmlformats.org/officeDocument/2006/relationships/hyperlink" Target="https://catalog.unmc.edu/nursing/student-policies/undergraduate-simulation-hours/" TargetMode="External"/><Relationship Id="rId67" Type="http://schemas.openxmlformats.org/officeDocument/2006/relationships/header" Target="header2.xml"/><Relationship Id="rId20" Type="http://schemas.openxmlformats.org/officeDocument/2006/relationships/hyperlink" Target="https://catalog.unmc.edu/nursing/student-policies/attendance-policy/" TargetMode="External"/><Relationship Id="rId41" Type="http://schemas.openxmlformats.org/officeDocument/2006/relationships/hyperlink" Target="https://catalog.unmc.edu/nursing/student-policies/undergraduate-unclassified-student-policy/" TargetMode="External"/><Relationship Id="rId54" Type="http://schemas.openxmlformats.org/officeDocument/2006/relationships/hyperlink" Target="https://catalog.unmc.edu/nursing/student-policies/transfer-of-campus-policy/" TargetMode="External"/><Relationship Id="rId62" Type="http://schemas.openxmlformats.org/officeDocument/2006/relationships/hyperlink" Target="https://catalog.unmc.edu/nursing/student-policies/student-complaint-procedure/" TargetMode="External"/><Relationship Id="rId7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NMC-Theme1">
  <a:themeElements>
    <a:clrScheme name="Custom 3">
      <a:dk1>
        <a:sysClr val="windowText" lastClr="000000"/>
      </a:dk1>
      <a:lt1>
        <a:sysClr val="window" lastClr="FFFFFF"/>
      </a:lt1>
      <a:dk2>
        <a:srgbClr val="303B41"/>
      </a:dk2>
      <a:lt2>
        <a:srgbClr val="DCDDDF"/>
      </a:lt2>
      <a:accent1>
        <a:srgbClr val="AD122A"/>
      </a:accent1>
      <a:accent2>
        <a:srgbClr val="005E63"/>
      </a:accent2>
      <a:accent3>
        <a:srgbClr val="00B2B9"/>
      </a:accent3>
      <a:accent4>
        <a:srgbClr val="A1B426"/>
      </a:accent4>
      <a:accent5>
        <a:srgbClr val="F26721"/>
      </a:accent5>
      <a:accent6>
        <a:srgbClr val="FCB614"/>
      </a:accent6>
      <a:hlink>
        <a:srgbClr val="0070C0"/>
      </a:hlink>
      <a:folHlink>
        <a:srgbClr val="0070C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UNMC-Theme1" id="{8EF01B1E-9DFC-494C-AC3E-5BE6BC8B2399}" vid="{BBF8300F-5B1F-C149-BD60-AC602127EF1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D55E2150F5A4BBBEFC197BECEC20D" ma:contentTypeVersion="8" ma:contentTypeDescription="Create a new document." ma:contentTypeScope="" ma:versionID="db2f1923e0b5d8af841656a72406e30e">
  <xsd:schema xmlns:xsd="http://www.w3.org/2001/XMLSchema" xmlns:xs="http://www.w3.org/2001/XMLSchema" xmlns:p="http://schemas.microsoft.com/office/2006/metadata/properties" xmlns:ns2="484acd89-0df1-4939-bbf9-c1fea82aa1b3" xmlns:ns3="f13526b8-0d01-45bc-bf9f-c57cb0cd73d6" targetNamespace="http://schemas.microsoft.com/office/2006/metadata/properties" ma:root="true" ma:fieldsID="76cbdd12ae8bfc9b8c47f5cc72fe3d78" ns2:_="" ns3:_="">
    <xsd:import namespace="484acd89-0df1-4939-bbf9-c1fea82aa1b3"/>
    <xsd:import namespace="f13526b8-0d01-45bc-bf9f-c57cb0cd7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acd89-0df1-4939-bbf9-c1fea82aa1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526b8-0d01-45bc-bf9f-c57cb0cd7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484acd89-0df1-4939-bbf9-c1fea82aa1b3">
      <UserInfo>
        <DisplayName/>
        <AccountId xsi:nil="true"/>
        <AccountType/>
      </UserInfo>
    </SharedWithUsers>
  </documentManagement>
</p:properties>
</file>

<file path=customXml/itemProps1.xml><?xml version="1.0" encoding="utf-8"?>
<ds:datastoreItem xmlns:ds="http://schemas.openxmlformats.org/officeDocument/2006/customXml" ds:itemID="{2E70749C-0876-4D7B-9D06-3CC875D8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acd89-0df1-4939-bbf9-c1fea82aa1b3"/>
    <ds:schemaRef ds:uri="f13526b8-0d01-45bc-bf9f-c57cb0cd7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9DEB6F-0350-4C96-B84A-D4327D74AEF6}">
  <ds:schemaRefs>
    <ds:schemaRef ds:uri="http://schemas.microsoft.com/sharepoint/v3/contenttype/forms"/>
  </ds:schemaRefs>
</ds:datastoreItem>
</file>

<file path=customXml/itemProps3.xml><?xml version="1.0" encoding="utf-8"?>
<ds:datastoreItem xmlns:ds="http://schemas.openxmlformats.org/officeDocument/2006/customXml" ds:itemID="{A594E05B-F7E2-3E40-B927-EBBD57E17D1B}">
  <ds:schemaRefs>
    <ds:schemaRef ds:uri="http://schemas.openxmlformats.org/officeDocument/2006/bibliography"/>
  </ds:schemaRefs>
</ds:datastoreItem>
</file>

<file path=customXml/itemProps4.xml><?xml version="1.0" encoding="utf-8"?>
<ds:datastoreItem xmlns:ds="http://schemas.openxmlformats.org/officeDocument/2006/customXml" ds:itemID="{FAFE240F-2170-4FE9-A694-20863C974CD1}">
  <ds:schemaRefs>
    <ds:schemaRef ds:uri="http://schemas.microsoft.com/office/2006/metadata/properties"/>
    <ds:schemaRef ds:uri="http://schemas.microsoft.com/office/infopath/2007/PartnerControls"/>
    <ds:schemaRef ds:uri="484acd89-0df1-4939-bbf9-c1fea82aa1b3"/>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Template>
  <TotalTime>251</TotalTime>
  <Pages>4</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The Nebraska Medical Center</Company>
  <LinksUpToDate>false</LinksUpToDate>
  <CharactersWithSpaces>17787</CharactersWithSpaces>
  <SharedDoc>false</SharedDoc>
  <HLinks>
    <vt:vector size="330" baseType="variant">
      <vt:variant>
        <vt:i4>6029404</vt:i4>
      </vt:variant>
      <vt:variant>
        <vt:i4>162</vt:i4>
      </vt:variant>
      <vt:variant>
        <vt:i4>0</vt:i4>
      </vt:variant>
      <vt:variant>
        <vt:i4>5</vt:i4>
      </vt:variant>
      <vt:variant>
        <vt:lpwstr>https://catalog.unmc.edu/nursing/student-policies/proctoring-process-for-off-campus-examinations/</vt:lpwstr>
      </vt:variant>
      <vt:variant>
        <vt:lpwstr/>
      </vt:variant>
      <vt:variant>
        <vt:i4>393232</vt:i4>
      </vt:variant>
      <vt:variant>
        <vt:i4>159</vt:i4>
      </vt:variant>
      <vt:variant>
        <vt:i4>0</vt:i4>
      </vt:variant>
      <vt:variant>
        <vt:i4>5</vt:i4>
      </vt:variant>
      <vt:variant>
        <vt:lpwstr>https://catalog.unmc.edu/nursing/student-policies/procedures-for-handling-undergraduate-student-appeals-of-academic-evaluations/</vt:lpwstr>
      </vt:variant>
      <vt:variant>
        <vt:lpwstr/>
      </vt:variant>
      <vt:variant>
        <vt:i4>4063271</vt:i4>
      </vt:variant>
      <vt:variant>
        <vt:i4>156</vt:i4>
      </vt:variant>
      <vt:variant>
        <vt:i4>0</vt:i4>
      </vt:variant>
      <vt:variant>
        <vt:i4>5</vt:i4>
      </vt:variant>
      <vt:variant>
        <vt:lpwstr>https://catalog.unmc.edu/nursing/student-policies/student-grievance-procedure/</vt:lpwstr>
      </vt:variant>
      <vt:variant>
        <vt:lpwstr/>
      </vt:variant>
      <vt:variant>
        <vt:i4>3866667</vt:i4>
      </vt:variant>
      <vt:variant>
        <vt:i4>153</vt:i4>
      </vt:variant>
      <vt:variant>
        <vt:i4>0</vt:i4>
      </vt:variant>
      <vt:variant>
        <vt:i4>5</vt:i4>
      </vt:variant>
      <vt:variant>
        <vt:lpwstr>https://catalog.unmc.edu/nursing/student-policies/student-complaint-procedure/</vt:lpwstr>
      </vt:variant>
      <vt:variant>
        <vt:lpwstr/>
      </vt:variant>
      <vt:variant>
        <vt:i4>7536751</vt:i4>
      </vt:variant>
      <vt:variant>
        <vt:i4>150</vt:i4>
      </vt:variant>
      <vt:variant>
        <vt:i4>0</vt:i4>
      </vt:variant>
      <vt:variant>
        <vt:i4>5</vt:i4>
      </vt:variant>
      <vt:variant>
        <vt:lpwstr>https://wiki.unmc.edu/index.php/CON_Cancellation_of_Classes_or_Clinical_Experiences</vt:lpwstr>
      </vt:variant>
      <vt:variant>
        <vt:lpwstr/>
      </vt:variant>
      <vt:variant>
        <vt:i4>983083</vt:i4>
      </vt:variant>
      <vt:variant>
        <vt:i4>147</vt:i4>
      </vt:variant>
      <vt:variant>
        <vt:i4>0</vt:i4>
      </vt:variant>
      <vt:variant>
        <vt:i4>5</vt:i4>
      </vt:variant>
      <vt:variant>
        <vt:lpwstr>https://wiki.unmc.edu/index.php/CON_Student_Use_of_Clinically_Related_Lab_Supplies_and_Equipment</vt:lpwstr>
      </vt:variant>
      <vt:variant>
        <vt:lpwstr/>
      </vt:variant>
      <vt:variant>
        <vt:i4>786513</vt:i4>
      </vt:variant>
      <vt:variant>
        <vt:i4>144</vt:i4>
      </vt:variant>
      <vt:variant>
        <vt:i4>0</vt:i4>
      </vt:variant>
      <vt:variant>
        <vt:i4>5</vt:i4>
      </vt:variant>
      <vt:variant>
        <vt:lpwstr>https://catalog.unmc.edu/nursing/student-policies/undergraduate-testing/</vt:lpwstr>
      </vt:variant>
      <vt:variant>
        <vt:lpwstr/>
      </vt:variant>
      <vt:variant>
        <vt:i4>4718593</vt:i4>
      </vt:variant>
      <vt:variant>
        <vt:i4>141</vt:i4>
      </vt:variant>
      <vt:variant>
        <vt:i4>0</vt:i4>
      </vt:variant>
      <vt:variant>
        <vt:i4>5</vt:i4>
      </vt:variant>
      <vt:variant>
        <vt:lpwstr>https://catalog.unmc.edu/nursing/student-policies/undergraduate-simulation-hours/</vt:lpwstr>
      </vt:variant>
      <vt:variant>
        <vt:lpwstr/>
      </vt:variant>
      <vt:variant>
        <vt:i4>5963777</vt:i4>
      </vt:variant>
      <vt:variant>
        <vt:i4>138</vt:i4>
      </vt:variant>
      <vt:variant>
        <vt:i4>0</vt:i4>
      </vt:variant>
      <vt:variant>
        <vt:i4>5</vt:i4>
      </vt:variant>
      <vt:variant>
        <vt:lpwstr>https://catalog.unmc.edu/nursing/student-policies/undergraduate-professional-performance/</vt:lpwstr>
      </vt:variant>
      <vt:variant>
        <vt:lpwstr/>
      </vt:variant>
      <vt:variant>
        <vt:i4>7995449</vt:i4>
      </vt:variant>
      <vt:variant>
        <vt:i4>135</vt:i4>
      </vt:variant>
      <vt:variant>
        <vt:i4>0</vt:i4>
      </vt:variant>
      <vt:variant>
        <vt:i4>5</vt:i4>
      </vt:variant>
      <vt:variant>
        <vt:lpwstr>https://catalog.unmc.edu/nursing/student-policies/recognition-for-outstanding-undergraduate-academic-achievement-and-graduation-with-honors-policy/</vt:lpwstr>
      </vt:variant>
      <vt:variant>
        <vt:lpwstr/>
      </vt:variant>
      <vt:variant>
        <vt:i4>5046281</vt:i4>
      </vt:variant>
      <vt:variant>
        <vt:i4>132</vt:i4>
      </vt:variant>
      <vt:variant>
        <vt:i4>0</vt:i4>
      </vt:variant>
      <vt:variant>
        <vt:i4>5</vt:i4>
      </vt:variant>
      <vt:variant>
        <vt:lpwstr>https://catalog.unmc.edu/nursing/student-policies/requirements-for-undergraduate-graduation/</vt:lpwstr>
      </vt:variant>
      <vt:variant>
        <vt:lpwstr/>
      </vt:variant>
      <vt:variant>
        <vt:i4>1441810</vt:i4>
      </vt:variant>
      <vt:variant>
        <vt:i4>129</vt:i4>
      </vt:variant>
      <vt:variant>
        <vt:i4>0</vt:i4>
      </vt:variant>
      <vt:variant>
        <vt:i4>5</vt:i4>
      </vt:variant>
      <vt:variant>
        <vt:lpwstr>https://catalog.unmc.edu/nursing/student-policies/deans-list-policy/</vt:lpwstr>
      </vt:variant>
      <vt:variant>
        <vt:lpwstr/>
      </vt:variant>
      <vt:variant>
        <vt:i4>327752</vt:i4>
      </vt:variant>
      <vt:variant>
        <vt:i4>126</vt:i4>
      </vt:variant>
      <vt:variant>
        <vt:i4>0</vt:i4>
      </vt:variant>
      <vt:variant>
        <vt:i4>5</vt:i4>
      </vt:variant>
      <vt:variant>
        <vt:lpwstr>https://catalog.unmc.edu/nursing/student-policies/transfer-of-campus-policy/</vt:lpwstr>
      </vt:variant>
      <vt:variant>
        <vt:lpwstr/>
      </vt:variant>
      <vt:variant>
        <vt:i4>6226000</vt:i4>
      </vt:variant>
      <vt:variant>
        <vt:i4>123</vt:i4>
      </vt:variant>
      <vt:variant>
        <vt:i4>0</vt:i4>
      </vt:variant>
      <vt:variant>
        <vt:i4>5</vt:i4>
      </vt:variant>
      <vt:variant>
        <vt:lpwstr>https://catalog.unmc.edu/nursing/student-policies/undergraduate-readmission-reinstatement-policy/</vt:lpwstr>
      </vt:variant>
      <vt:variant>
        <vt:lpwstr/>
      </vt:variant>
      <vt:variant>
        <vt:i4>7864435</vt:i4>
      </vt:variant>
      <vt:variant>
        <vt:i4>120</vt:i4>
      </vt:variant>
      <vt:variant>
        <vt:i4>0</vt:i4>
      </vt:variant>
      <vt:variant>
        <vt:i4>5</vt:i4>
      </vt:variant>
      <vt:variant>
        <vt:lpwstr>https://catalog.unmc.edu/nursing/student-policies/undergraduate-academic-probation-dismissal-withdrawal-policy/</vt:lpwstr>
      </vt:variant>
      <vt:variant>
        <vt:lpwstr/>
      </vt:variant>
      <vt:variant>
        <vt:i4>1245255</vt:i4>
      </vt:variant>
      <vt:variant>
        <vt:i4>117</vt:i4>
      </vt:variant>
      <vt:variant>
        <vt:i4>0</vt:i4>
      </vt:variant>
      <vt:variant>
        <vt:i4>5</vt:i4>
      </vt:variant>
      <vt:variant>
        <vt:lpwstr>https://catalog.unmc.edu/nursing/student-policies/makeup-of-clinical-laboratory/</vt:lpwstr>
      </vt:variant>
      <vt:variant>
        <vt:lpwstr/>
      </vt:variant>
      <vt:variant>
        <vt:i4>5046364</vt:i4>
      </vt:variant>
      <vt:variant>
        <vt:i4>114</vt:i4>
      </vt:variant>
      <vt:variant>
        <vt:i4>0</vt:i4>
      </vt:variant>
      <vt:variant>
        <vt:i4>5</vt:i4>
      </vt:variant>
      <vt:variant>
        <vt:lpwstr>https://catalog.unmc.edu/nursing/student-policies/undergraduate-student-grade-appeal/</vt:lpwstr>
      </vt:variant>
      <vt:variant>
        <vt:lpwstr/>
      </vt:variant>
      <vt:variant>
        <vt:i4>6422590</vt:i4>
      </vt:variant>
      <vt:variant>
        <vt:i4>111</vt:i4>
      </vt:variant>
      <vt:variant>
        <vt:i4>0</vt:i4>
      </vt:variant>
      <vt:variant>
        <vt:i4>5</vt:i4>
      </vt:variant>
      <vt:variant>
        <vt:lpwstr>https://catalog.unmc.edu/nursing/student-policies/undergraduate-progression-policy/</vt:lpwstr>
      </vt:variant>
      <vt:variant>
        <vt:lpwstr/>
      </vt:variant>
      <vt:variant>
        <vt:i4>6881333</vt:i4>
      </vt:variant>
      <vt:variant>
        <vt:i4>108</vt:i4>
      </vt:variant>
      <vt:variant>
        <vt:i4>0</vt:i4>
      </vt:variant>
      <vt:variant>
        <vt:i4>5</vt:i4>
      </vt:variant>
      <vt:variant>
        <vt:lpwstr>https://catalog.unmc.edu/nursing/student-policies/undergraduate-grading-system/</vt:lpwstr>
      </vt:variant>
      <vt:variant>
        <vt:lpwstr/>
      </vt:variant>
      <vt:variant>
        <vt:i4>7274606</vt:i4>
      </vt:variant>
      <vt:variant>
        <vt:i4>105</vt:i4>
      </vt:variant>
      <vt:variant>
        <vt:i4>0</vt:i4>
      </vt:variant>
      <vt:variant>
        <vt:i4>5</vt:i4>
      </vt:variant>
      <vt:variant>
        <vt:lpwstr>https://catalog.unmc.edu/nursing/student-policies/evaluation-of-undergraduate-students/</vt:lpwstr>
      </vt:variant>
      <vt:variant>
        <vt:lpwstr/>
      </vt:variant>
      <vt:variant>
        <vt:i4>2097267</vt:i4>
      </vt:variant>
      <vt:variant>
        <vt:i4>102</vt:i4>
      </vt:variant>
      <vt:variant>
        <vt:i4>0</vt:i4>
      </vt:variant>
      <vt:variant>
        <vt:i4>5</vt:i4>
      </vt:variant>
      <vt:variant>
        <vt:lpwstr>https://catalog.unmc.edu/nursing/student-policies/undergraduate-scholarship-awards-policy/</vt:lpwstr>
      </vt:variant>
      <vt:variant>
        <vt:lpwstr/>
      </vt:variant>
      <vt:variant>
        <vt:i4>2424955</vt:i4>
      </vt:variant>
      <vt:variant>
        <vt:i4>99</vt:i4>
      </vt:variant>
      <vt:variant>
        <vt:i4>0</vt:i4>
      </vt:variant>
      <vt:variant>
        <vt:i4>5</vt:i4>
      </vt:variant>
      <vt:variant>
        <vt:lpwstr>https://catalog.unmc.edu/nursing/student-policies/enrollment-in-course-by-permission-of-instructor/</vt:lpwstr>
      </vt:variant>
      <vt:variant>
        <vt:lpwstr/>
      </vt:variant>
      <vt:variant>
        <vt:i4>7012457</vt:i4>
      </vt:variant>
      <vt:variant>
        <vt:i4>96</vt:i4>
      </vt:variant>
      <vt:variant>
        <vt:i4>0</vt:i4>
      </vt:variant>
      <vt:variant>
        <vt:i4>5</vt:i4>
      </vt:variant>
      <vt:variant>
        <vt:lpwstr>https://catalog.unmc.edu/nursing/student-policies/student-clinical-attire/</vt:lpwstr>
      </vt:variant>
      <vt:variant>
        <vt:lpwstr/>
      </vt:variant>
      <vt:variant>
        <vt:i4>917507</vt:i4>
      </vt:variant>
      <vt:variant>
        <vt:i4>93</vt:i4>
      </vt:variant>
      <vt:variant>
        <vt:i4>0</vt:i4>
      </vt:variant>
      <vt:variant>
        <vt:i4>5</vt:i4>
      </vt:variant>
      <vt:variant>
        <vt:lpwstr>https://catalog.unmc.edu/nursing/student-policies/undergraduate-honors-admission-to-the-bsn-program-requirements-policy/</vt:lpwstr>
      </vt:variant>
      <vt:variant>
        <vt:lpwstr/>
      </vt:variant>
      <vt:variant>
        <vt:i4>917598</vt:i4>
      </vt:variant>
      <vt:variant>
        <vt:i4>90</vt:i4>
      </vt:variant>
      <vt:variant>
        <vt:i4>0</vt:i4>
      </vt:variant>
      <vt:variant>
        <vt:i4>5</vt:i4>
      </vt:variant>
      <vt:variant>
        <vt:lpwstr>https://catalog.unmc.edu/nursing/student-policies/undergraduate-unclassified-student-policy/</vt:lpwstr>
      </vt:variant>
      <vt:variant>
        <vt:lpwstr/>
      </vt:variant>
      <vt:variant>
        <vt:i4>7995499</vt:i4>
      </vt:variant>
      <vt:variant>
        <vt:i4>87</vt:i4>
      </vt:variant>
      <vt:variant>
        <vt:i4>0</vt:i4>
      </vt:variant>
      <vt:variant>
        <vt:i4>5</vt:i4>
      </vt:variant>
      <vt:variant>
        <vt:lpwstr>https://catalog.unmc.edu/nursing/student-policies/auditing-of-courses/</vt:lpwstr>
      </vt:variant>
      <vt:variant>
        <vt:lpwstr/>
      </vt:variant>
      <vt:variant>
        <vt:i4>6881387</vt:i4>
      </vt:variant>
      <vt:variant>
        <vt:i4>84</vt:i4>
      </vt:variant>
      <vt:variant>
        <vt:i4>0</vt:i4>
      </vt:variant>
      <vt:variant>
        <vt:i4>5</vt:i4>
      </vt:variant>
      <vt:variant>
        <vt:lpwstr>https://catalog.unmc.edu/nursing/student-policies/undergraduate-transfer-credit-policy/</vt:lpwstr>
      </vt:variant>
      <vt:variant>
        <vt:lpwstr/>
      </vt:variant>
      <vt:variant>
        <vt:i4>4849734</vt:i4>
      </vt:variant>
      <vt:variant>
        <vt:i4>81</vt:i4>
      </vt:variant>
      <vt:variant>
        <vt:i4>0</vt:i4>
      </vt:variant>
      <vt:variant>
        <vt:i4>5</vt:i4>
      </vt:variant>
      <vt:variant>
        <vt:lpwstr>https://catalog.unmc.edu/nursing/student-policies/advanced-placement-policy/</vt:lpwstr>
      </vt:variant>
      <vt:variant>
        <vt:lpwstr/>
      </vt:variant>
      <vt:variant>
        <vt:i4>3866679</vt:i4>
      </vt:variant>
      <vt:variant>
        <vt:i4>78</vt:i4>
      </vt:variant>
      <vt:variant>
        <vt:i4>0</vt:i4>
      </vt:variant>
      <vt:variant>
        <vt:i4>5</vt:i4>
      </vt:variant>
      <vt:variant>
        <vt:lpwstr>https://catalog.unmc.edu/nursing/student-policies/awarding-of-credit-by-examination-for-non-nursing-courses-policy/</vt:lpwstr>
      </vt:variant>
      <vt:variant>
        <vt:lpwstr/>
      </vt:variant>
      <vt:variant>
        <vt:i4>2818100</vt:i4>
      </vt:variant>
      <vt:variant>
        <vt:i4>75</vt:i4>
      </vt:variant>
      <vt:variant>
        <vt:i4>0</vt:i4>
      </vt:variant>
      <vt:variant>
        <vt:i4>5</vt:i4>
      </vt:variant>
      <vt:variant>
        <vt:lpwstr>https://catalog.unmc.edu/nursing/student-policies/english-as-a-second-language-undergraduate-students/</vt:lpwstr>
      </vt:variant>
      <vt:variant>
        <vt:lpwstr/>
      </vt:variant>
      <vt:variant>
        <vt:i4>2228332</vt:i4>
      </vt:variant>
      <vt:variant>
        <vt:i4>72</vt:i4>
      </vt:variant>
      <vt:variant>
        <vt:i4>0</vt:i4>
      </vt:variant>
      <vt:variant>
        <vt:i4>5</vt:i4>
      </vt:variant>
      <vt:variant>
        <vt:lpwstr>https://catalog.unmc.edu/nursing/student-policies/undergraduate-admission-requirements-policy/</vt:lpwstr>
      </vt:variant>
      <vt:variant>
        <vt:lpwstr/>
      </vt:variant>
      <vt:variant>
        <vt:i4>4456516</vt:i4>
      </vt:variant>
      <vt:variant>
        <vt:i4>69</vt:i4>
      </vt:variant>
      <vt:variant>
        <vt:i4>0</vt:i4>
      </vt:variant>
      <vt:variant>
        <vt:i4>5</vt:i4>
      </vt:variant>
      <vt:variant>
        <vt:lpwstr>https://catalog.unmc.edu/nursing/student-policies/medication-math-competency-requirements-procedure/</vt:lpwstr>
      </vt:variant>
      <vt:variant>
        <vt:lpwstr/>
      </vt:variant>
      <vt:variant>
        <vt:i4>6225997</vt:i4>
      </vt:variant>
      <vt:variant>
        <vt:i4>66</vt:i4>
      </vt:variant>
      <vt:variant>
        <vt:i4>0</vt:i4>
      </vt:variant>
      <vt:variant>
        <vt:i4>5</vt:i4>
      </vt:variant>
      <vt:variant>
        <vt:lpwstr>https://catalog.unmc.edu/nursing/student-policies/technical-standards-for-undergraduate-program/</vt:lpwstr>
      </vt:variant>
      <vt:variant>
        <vt:lpwstr/>
      </vt:variant>
      <vt:variant>
        <vt:i4>6488126</vt:i4>
      </vt:variant>
      <vt:variant>
        <vt:i4>63</vt:i4>
      </vt:variant>
      <vt:variant>
        <vt:i4>0</vt:i4>
      </vt:variant>
      <vt:variant>
        <vt:i4>5</vt:i4>
      </vt:variant>
      <vt:variant>
        <vt:lpwstr>https://catalog.unmc.edu/nursing/student-policies/student-formal-complaints-and-formal-grievances/</vt:lpwstr>
      </vt:variant>
      <vt:variant>
        <vt:lpwstr/>
      </vt:variant>
      <vt:variant>
        <vt:i4>8192045</vt:i4>
      </vt:variant>
      <vt:variant>
        <vt:i4>60</vt:i4>
      </vt:variant>
      <vt:variant>
        <vt:i4>0</vt:i4>
      </vt:variant>
      <vt:variant>
        <vt:i4>5</vt:i4>
      </vt:variant>
      <vt:variant>
        <vt:lpwstr>https://catalog.unmc.edu/nursing/student-policies/undergraduate-professional-graduate-student-disciplinary-appeal/</vt:lpwstr>
      </vt:variant>
      <vt:variant>
        <vt:lpwstr/>
      </vt:variant>
      <vt:variant>
        <vt:i4>1376323</vt:i4>
      </vt:variant>
      <vt:variant>
        <vt:i4>57</vt:i4>
      </vt:variant>
      <vt:variant>
        <vt:i4>0</vt:i4>
      </vt:variant>
      <vt:variant>
        <vt:i4>5</vt:i4>
      </vt:variant>
      <vt:variant>
        <vt:lpwstr>https://catalog.unmc.edu/nursing/student-policies/background-checks-disclosure-statements-policy/</vt:lpwstr>
      </vt:variant>
      <vt:variant>
        <vt:lpwstr/>
      </vt:variant>
      <vt:variant>
        <vt:i4>2949171</vt:i4>
      </vt:variant>
      <vt:variant>
        <vt:i4>54</vt:i4>
      </vt:variant>
      <vt:variant>
        <vt:i4>0</vt:i4>
      </vt:variant>
      <vt:variant>
        <vt:i4>5</vt:i4>
      </vt:variant>
      <vt:variant>
        <vt:lpwstr>https://catalog.unmc.edu/nursing/student-policies/access-to-student-emergency-assistance-educational-development-funds/</vt:lpwstr>
      </vt:variant>
      <vt:variant>
        <vt:lpwstr/>
      </vt:variant>
      <vt:variant>
        <vt:i4>7012479</vt:i4>
      </vt:variant>
      <vt:variant>
        <vt:i4>51</vt:i4>
      </vt:variant>
      <vt:variant>
        <vt:i4>0</vt:i4>
      </vt:variant>
      <vt:variant>
        <vt:i4>5</vt:i4>
      </vt:variant>
      <vt:variant>
        <vt:lpwstr>https://catalog.unmc.edu/nursing/student-policies/proctors-for-off-campus-testing/</vt:lpwstr>
      </vt:variant>
      <vt:variant>
        <vt:lpwstr/>
      </vt:variant>
      <vt:variant>
        <vt:i4>4325449</vt:i4>
      </vt:variant>
      <vt:variant>
        <vt:i4>48</vt:i4>
      </vt:variant>
      <vt:variant>
        <vt:i4>0</vt:i4>
      </vt:variant>
      <vt:variant>
        <vt:i4>5</vt:i4>
      </vt:variant>
      <vt:variant>
        <vt:lpwstr>https://catalog.unmc.edu/nursing/student-policies/international-nursing-student-exchange/</vt:lpwstr>
      </vt:variant>
      <vt:variant>
        <vt:lpwstr/>
      </vt:variant>
      <vt:variant>
        <vt:i4>2883703</vt:i4>
      </vt:variant>
      <vt:variant>
        <vt:i4>45</vt:i4>
      </vt:variant>
      <vt:variant>
        <vt:i4>0</vt:i4>
      </vt:variant>
      <vt:variant>
        <vt:i4>5</vt:i4>
      </vt:variant>
      <vt:variant>
        <vt:lpwstr>https://catalog.unmc.edu/nursing/student-policies/undergraduate-grade-of-incomplete-policy/</vt:lpwstr>
      </vt:variant>
      <vt:variant>
        <vt:lpwstr/>
      </vt:variant>
      <vt:variant>
        <vt:i4>393235</vt:i4>
      </vt:variant>
      <vt:variant>
        <vt:i4>42</vt:i4>
      </vt:variant>
      <vt:variant>
        <vt:i4>0</vt:i4>
      </vt:variant>
      <vt:variant>
        <vt:i4>5</vt:i4>
      </vt:variant>
      <vt:variant>
        <vt:lpwstr>https://catalog.unmc.edu/nursing/student-policies/student-ratings-of-instruction/</vt:lpwstr>
      </vt:variant>
      <vt:variant>
        <vt:lpwstr/>
      </vt:variant>
      <vt:variant>
        <vt:i4>5373981</vt:i4>
      </vt:variant>
      <vt:variant>
        <vt:i4>39</vt:i4>
      </vt:variant>
      <vt:variant>
        <vt:i4>0</vt:i4>
      </vt:variant>
      <vt:variant>
        <vt:i4>5</vt:i4>
      </vt:variant>
      <vt:variant>
        <vt:lpwstr>https://catalog.unmc.edu/nursing/student-policies/course-enrollment/</vt:lpwstr>
      </vt:variant>
      <vt:variant>
        <vt:lpwstr/>
      </vt:variant>
      <vt:variant>
        <vt:i4>6094868</vt:i4>
      </vt:variant>
      <vt:variant>
        <vt:i4>36</vt:i4>
      </vt:variant>
      <vt:variant>
        <vt:i4>0</vt:i4>
      </vt:variant>
      <vt:variant>
        <vt:i4>5</vt:i4>
      </vt:variant>
      <vt:variant>
        <vt:lpwstr>https://catalog.unmc.edu/nursing/student-policies/plan-of-study-requirements-for-undergraduate-nursing-students/</vt:lpwstr>
      </vt:variant>
      <vt:variant>
        <vt:lpwstr/>
      </vt:variant>
      <vt:variant>
        <vt:i4>5701637</vt:i4>
      </vt:variant>
      <vt:variant>
        <vt:i4>33</vt:i4>
      </vt:variant>
      <vt:variant>
        <vt:i4>0</vt:i4>
      </vt:variant>
      <vt:variant>
        <vt:i4>5</vt:i4>
      </vt:variant>
      <vt:variant>
        <vt:lpwstr>https://catalog.unmc.edu/nursing/student-policies/emotional-health-policy-and-guidelines/</vt:lpwstr>
      </vt:variant>
      <vt:variant>
        <vt:lpwstr/>
      </vt:variant>
      <vt:variant>
        <vt:i4>7602284</vt:i4>
      </vt:variant>
      <vt:variant>
        <vt:i4>30</vt:i4>
      </vt:variant>
      <vt:variant>
        <vt:i4>0</vt:i4>
      </vt:variant>
      <vt:variant>
        <vt:i4>5</vt:i4>
      </vt:variant>
      <vt:variant>
        <vt:lpwstr>https://catalog.unmc.edu/nursing/student-policies/Student-Responsibility-to-Provide-Information-Policy/</vt:lpwstr>
      </vt:variant>
      <vt:variant>
        <vt:lpwstr/>
      </vt:variant>
      <vt:variant>
        <vt:i4>5439490</vt:i4>
      </vt:variant>
      <vt:variant>
        <vt:i4>27</vt:i4>
      </vt:variant>
      <vt:variant>
        <vt:i4>0</vt:i4>
      </vt:variant>
      <vt:variant>
        <vt:i4>5</vt:i4>
      </vt:variant>
      <vt:variant>
        <vt:lpwstr>https://catalog.unmc.edu/nursing/student-policies/attendance-policy/</vt:lpwstr>
      </vt:variant>
      <vt:variant>
        <vt:lpwstr/>
      </vt:variant>
      <vt:variant>
        <vt:i4>1835053</vt:i4>
      </vt:variant>
      <vt:variant>
        <vt:i4>24</vt:i4>
      </vt:variant>
      <vt:variant>
        <vt:i4>0</vt:i4>
      </vt:variant>
      <vt:variant>
        <vt:i4>5</vt:i4>
      </vt:variant>
      <vt:variant>
        <vt:lpwstr>https://wiki.unmc.edu/index.php/Organizing_Framework</vt:lpwstr>
      </vt:variant>
      <vt:variant>
        <vt:lpwstr/>
      </vt:variant>
      <vt:variant>
        <vt:i4>1441847</vt:i4>
      </vt:variant>
      <vt:variant>
        <vt:i4>21</vt:i4>
      </vt:variant>
      <vt:variant>
        <vt:i4>0</vt:i4>
      </vt:variant>
      <vt:variant>
        <vt:i4>5</vt:i4>
      </vt:variant>
      <vt:variant>
        <vt:lpwstr>https://wiki.unmc.edu/index.php/Philosophy_Statement</vt:lpwstr>
      </vt:variant>
      <vt:variant>
        <vt:lpwstr/>
      </vt:variant>
      <vt:variant>
        <vt:i4>2752574</vt:i4>
      </vt:variant>
      <vt:variant>
        <vt:i4>18</vt:i4>
      </vt:variant>
      <vt:variant>
        <vt:i4>0</vt:i4>
      </vt:variant>
      <vt:variant>
        <vt:i4>5</vt:i4>
      </vt:variant>
      <vt:variant>
        <vt:lpwstr>https://catalog.unmc.edu/general-information/student-policies-procedures/deadly-weapon/</vt:lpwstr>
      </vt:variant>
      <vt:variant>
        <vt:lpwstr/>
      </vt:variant>
      <vt:variant>
        <vt:i4>1114120</vt:i4>
      </vt:variant>
      <vt:variant>
        <vt:i4>15</vt:i4>
      </vt:variant>
      <vt:variant>
        <vt:i4>0</vt:i4>
      </vt:variant>
      <vt:variant>
        <vt:i4>5</vt:i4>
      </vt:variant>
      <vt:variant>
        <vt:lpwstr>https://www.unmc.edu/titleix/campus-resources/index.html</vt:lpwstr>
      </vt:variant>
      <vt:variant>
        <vt:lpwstr/>
      </vt:variant>
      <vt:variant>
        <vt:i4>3407904</vt:i4>
      </vt:variant>
      <vt:variant>
        <vt:i4>12</vt:i4>
      </vt:variant>
      <vt:variant>
        <vt:i4>0</vt:i4>
      </vt:variant>
      <vt:variant>
        <vt:i4>5</vt:i4>
      </vt:variant>
      <vt:variant>
        <vt:lpwstr>https://catalog.unmc.edu/general-information/student-policies-procedures/student-accommodation-policy/</vt:lpwstr>
      </vt:variant>
      <vt:variant>
        <vt:lpwstr/>
      </vt:variant>
      <vt:variant>
        <vt:i4>5570591</vt:i4>
      </vt:variant>
      <vt:variant>
        <vt:i4>9</vt:i4>
      </vt:variant>
      <vt:variant>
        <vt:i4>0</vt:i4>
      </vt:variant>
      <vt:variant>
        <vt:i4>5</vt:i4>
      </vt:variant>
      <vt:variant>
        <vt:lpwstr>https://catalog.unmc.edu/general-information/student-policies-procedures/code-of-conduct/</vt:lpwstr>
      </vt:variant>
      <vt:variant>
        <vt:lpwstr/>
      </vt:variant>
      <vt:variant>
        <vt:i4>1704026</vt:i4>
      </vt:variant>
      <vt:variant>
        <vt:i4>6</vt:i4>
      </vt:variant>
      <vt:variant>
        <vt:i4>0</vt:i4>
      </vt:variant>
      <vt:variant>
        <vt:i4>5</vt:i4>
      </vt:variant>
      <vt:variant>
        <vt:lpwstr>https://www.nursingworld.org/practice-policy/nursing-excellence/ethics/code-of-ethics-for-nurses/</vt:lpwstr>
      </vt:variant>
      <vt:variant>
        <vt:lpwstr/>
      </vt:variant>
      <vt:variant>
        <vt:i4>8192041</vt:i4>
      </vt:variant>
      <vt:variant>
        <vt:i4>3</vt:i4>
      </vt:variant>
      <vt:variant>
        <vt:i4>0</vt:i4>
      </vt:variant>
      <vt:variant>
        <vt:i4>5</vt:i4>
      </vt:variant>
      <vt:variant>
        <vt:lpwstr>https://catalog.unmc.edu/nursing/student-policies/</vt:lpwstr>
      </vt:variant>
      <vt:variant>
        <vt:lpwstr/>
      </vt:variant>
      <vt:variant>
        <vt:i4>1376272</vt:i4>
      </vt:variant>
      <vt:variant>
        <vt:i4>0</vt:i4>
      </vt:variant>
      <vt:variant>
        <vt:i4>0</vt:i4>
      </vt:variant>
      <vt:variant>
        <vt:i4>5</vt:i4>
      </vt:variant>
      <vt:variant>
        <vt:lpwstr>https://catalog.unmc.edu/general-information/student-policies-procedures/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Nebraska Medical Center</dc:creator>
  <cp:keywords/>
  <cp:lastModifiedBy>Lori Turner</cp:lastModifiedBy>
  <cp:revision>124</cp:revision>
  <cp:lastPrinted>2019-10-04T18:26:00Z</cp:lastPrinted>
  <dcterms:created xsi:type="dcterms:W3CDTF">2024-08-16T20:51:00Z</dcterms:created>
  <dcterms:modified xsi:type="dcterms:W3CDTF">2025-08-20T02:31:00Z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0x010100686D55E2150F5A4BBBEFC197BECEC20D</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{"FileActivityType":"9","FileActivityTimeStamp":"2024-08-27T20:51:15.763Z","FileActivityUsersOnPage":[{"DisplayName":"Turner, Lori A","Id":"loturner@unmc.edu"},{"DisplayName":"Barrier, John A","Id":"jbarrier@unmc.edu"}],"FileActivityNavigationId":null}</vt:lpwstr>
  </property>
  <property fmtid="{D5CDD505-2E9C-101B-9397-08002B2CF9AE}" pid="6" name="TriggerFlowInfo">
    <vt:lpwstr/>
  </property>
</Properties>
</file>