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08B8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u w:val="single"/>
        </w:rPr>
      </w:pPr>
      <w:r>
        <w:rPr>
          <w:rFonts w:ascii="Arial" w:eastAsiaTheme="minorHAnsi" w:hAnsi="Arial" w:cs="Arial"/>
          <w:sz w:val="22"/>
          <w:szCs w:val="22"/>
        </w:rPr>
        <w:t xml:space="preserve">Peeples ES, Comstock BA, </w:t>
      </w:r>
      <w:proofErr w:type="spellStart"/>
      <w:r>
        <w:rPr>
          <w:rFonts w:ascii="Arial" w:eastAsiaTheme="minorHAnsi" w:hAnsi="Arial" w:cs="Arial"/>
          <w:sz w:val="22"/>
          <w:szCs w:val="22"/>
        </w:rPr>
        <w:t>Heagerty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PJ, Juul SE. Blood Pressure Values and Hypotension Management in Extremely Preterm Infants: A Multi-Center Study. </w:t>
      </w:r>
      <w:r>
        <w:rPr>
          <w:rFonts w:ascii="Arial" w:eastAsiaTheme="minorHAnsi" w:hAnsi="Arial" w:cs="Arial"/>
          <w:i/>
          <w:iCs/>
          <w:sz w:val="22"/>
          <w:szCs w:val="22"/>
        </w:rPr>
        <w:t>J Perinatology</w:t>
      </w:r>
      <w:r>
        <w:rPr>
          <w:rFonts w:ascii="Arial" w:eastAsiaTheme="minorHAnsi" w:hAnsi="Arial" w:cs="Arial"/>
          <w:sz w:val="22"/>
          <w:szCs w:val="22"/>
        </w:rPr>
        <w:t xml:space="preserve">. 2022 Jun 17, </w:t>
      </w:r>
      <w:proofErr w:type="spellStart"/>
      <w:r>
        <w:rPr>
          <w:rFonts w:ascii="Arial" w:eastAsiaTheme="minorHAnsi" w:hAnsi="Arial" w:cs="Arial"/>
          <w:sz w:val="22"/>
          <w:szCs w:val="22"/>
        </w:rPr>
        <w:t>Epub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ahead of print.</w:t>
      </w:r>
    </w:p>
    <w:p w14:paraId="51844CBD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Dave A, Genaro-Mattos TC, Korade Z, Peeples ES. Neonatal Hypoxic-Ischemic Brain Injury Alters Brain Acylcarnitine Levels in a Mouse Model. </w:t>
      </w:r>
      <w:r>
        <w:rPr>
          <w:rFonts w:ascii="Arial" w:eastAsiaTheme="minorHAnsi" w:hAnsi="Arial" w:cs="Arial"/>
          <w:i/>
          <w:iCs/>
          <w:sz w:val="22"/>
          <w:szCs w:val="22"/>
        </w:rPr>
        <w:t xml:space="preserve">Metabolites. </w:t>
      </w:r>
      <w:r>
        <w:rPr>
          <w:rFonts w:ascii="Arial" w:eastAsiaTheme="minorHAnsi" w:hAnsi="Arial" w:cs="Arial"/>
          <w:sz w:val="22"/>
          <w:szCs w:val="22"/>
        </w:rPr>
        <w:t>2022 May;12(5):467.</w:t>
      </w:r>
    </w:p>
    <w:p w14:paraId="5B80DCF4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sz w:val="22"/>
          <w:szCs w:val="22"/>
        </w:rPr>
        <w:t xml:space="preserve">Natarajan G, Hamrick SE, </w:t>
      </w:r>
      <w:proofErr w:type="spellStart"/>
      <w:r>
        <w:rPr>
          <w:rFonts w:ascii="Arial" w:eastAsiaTheme="minorHAnsi" w:hAnsi="Arial" w:cs="Arial"/>
          <w:sz w:val="22"/>
          <w:szCs w:val="22"/>
        </w:rPr>
        <w:t>Zaniletti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I, Lee KS, </w:t>
      </w:r>
      <w:proofErr w:type="spellStart"/>
      <w:r>
        <w:rPr>
          <w:rFonts w:ascii="Arial" w:eastAsiaTheme="minorHAnsi" w:hAnsi="Arial" w:cs="Arial"/>
          <w:sz w:val="22"/>
          <w:szCs w:val="22"/>
        </w:rPr>
        <w:t>Mietzsch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U, </w:t>
      </w:r>
      <w:proofErr w:type="spellStart"/>
      <w:r>
        <w:rPr>
          <w:rFonts w:ascii="Arial" w:eastAsiaTheme="minorHAnsi" w:hAnsi="Arial" w:cs="Arial"/>
          <w:sz w:val="22"/>
          <w:szCs w:val="22"/>
        </w:rPr>
        <w:t>DiGeronimo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R, </w:t>
      </w:r>
      <w:proofErr w:type="spellStart"/>
      <w:r>
        <w:rPr>
          <w:rFonts w:ascii="Arial" w:eastAsiaTheme="minorHAnsi" w:hAnsi="Arial" w:cs="Arial"/>
          <w:sz w:val="22"/>
          <w:szCs w:val="22"/>
        </w:rPr>
        <w:t>Dizon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MLV, Peeples ES, </w:t>
      </w:r>
      <w:proofErr w:type="spellStart"/>
      <w:r>
        <w:rPr>
          <w:rFonts w:ascii="Arial" w:eastAsiaTheme="minorHAnsi" w:hAnsi="Arial" w:cs="Arial"/>
          <w:sz w:val="22"/>
          <w:szCs w:val="22"/>
        </w:rPr>
        <w:t>Yanowitz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T, Wu TW, </w:t>
      </w:r>
      <w:proofErr w:type="spellStart"/>
      <w:r>
        <w:rPr>
          <w:rFonts w:ascii="Arial" w:eastAsiaTheme="minorHAnsi" w:hAnsi="Arial" w:cs="Arial"/>
          <w:sz w:val="22"/>
          <w:szCs w:val="22"/>
        </w:rPr>
        <w:t>Flibotte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H, Joe P, Massaro A, Rao R. Opioid Exposure During Therapeutic Hypothermia and Short-Term Outcomes in Neonatal Encephalopathy. </w:t>
      </w:r>
      <w:r>
        <w:rPr>
          <w:rFonts w:ascii="Arial" w:eastAsiaTheme="minorHAnsi" w:hAnsi="Arial" w:cs="Arial"/>
          <w:i/>
          <w:iCs/>
          <w:sz w:val="22"/>
          <w:szCs w:val="22"/>
        </w:rPr>
        <w:t>J Perinatology</w:t>
      </w:r>
      <w:r>
        <w:rPr>
          <w:rFonts w:ascii="Arial" w:eastAsiaTheme="minorHAnsi" w:hAnsi="Arial" w:cs="Arial"/>
          <w:sz w:val="22"/>
          <w:szCs w:val="22"/>
        </w:rPr>
        <w:t xml:space="preserve">. 2022 Apr 26, </w:t>
      </w:r>
      <w:proofErr w:type="spellStart"/>
      <w:r>
        <w:rPr>
          <w:rFonts w:ascii="Arial" w:eastAsiaTheme="minorHAnsi" w:hAnsi="Arial" w:cs="Arial"/>
          <w:sz w:val="22"/>
          <w:szCs w:val="22"/>
        </w:rPr>
        <w:t>Epub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ahead of print.</w:t>
      </w:r>
    </w:p>
    <w:p w14:paraId="79A964DD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Lawson A, Snyder W, Peeples ES. Intranasal administration of extracellular vesicles mitigates apoptosis in a mouse model of neonatal hypoxic-ischemic brain injury. </w:t>
      </w:r>
      <w:r>
        <w:rPr>
          <w:rFonts w:ascii="Arial" w:eastAsiaTheme="minorHAnsi" w:hAnsi="Arial" w:cs="Arial"/>
          <w:i/>
          <w:iCs/>
          <w:sz w:val="22"/>
          <w:szCs w:val="22"/>
        </w:rPr>
        <w:t>Neonatology</w:t>
      </w:r>
      <w:r>
        <w:rPr>
          <w:rFonts w:ascii="Arial" w:eastAsiaTheme="minorHAnsi" w:hAnsi="Arial" w:cs="Arial"/>
          <w:sz w:val="22"/>
          <w:szCs w:val="22"/>
        </w:rPr>
        <w:t xml:space="preserve">. 2022 Mar 25, </w:t>
      </w:r>
      <w:proofErr w:type="spellStart"/>
      <w:r>
        <w:rPr>
          <w:rFonts w:ascii="Arial" w:eastAsiaTheme="minorHAnsi" w:hAnsi="Arial" w:cs="Arial"/>
          <w:sz w:val="22"/>
          <w:szCs w:val="22"/>
        </w:rPr>
        <w:t>Epub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ahead of print.</w:t>
      </w:r>
    </w:p>
    <w:p w14:paraId="728F6586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sz w:val="22"/>
          <w:szCs w:val="22"/>
        </w:rPr>
        <w:t xml:space="preserve">Peeples ES, Sahar N, Snyder W, Mirnics K. Early brain microRNA and mRNA expression profiles are region-specific after neonatal hypoxic-ischemic injury in a mouse model. </w:t>
      </w:r>
      <w:r>
        <w:rPr>
          <w:rFonts w:ascii="Arial" w:eastAsiaTheme="minorHAnsi" w:hAnsi="Arial" w:cs="Arial"/>
          <w:i/>
          <w:iCs/>
          <w:sz w:val="22"/>
          <w:szCs w:val="22"/>
        </w:rPr>
        <w:t>Frontiers in Genetics</w:t>
      </w:r>
      <w:r>
        <w:rPr>
          <w:rFonts w:ascii="Arial" w:eastAsiaTheme="minorHAnsi" w:hAnsi="Arial" w:cs="Arial"/>
          <w:sz w:val="22"/>
          <w:szCs w:val="22"/>
        </w:rPr>
        <w:t>. 2022 Feb 16;13:841043.</w:t>
      </w:r>
    </w:p>
    <w:p w14:paraId="0236AD9C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sz w:val="22"/>
          <w:szCs w:val="22"/>
        </w:rPr>
        <w:t xml:space="preserve">Peeples ES, Sahar N, Snyder W, Mirnics K. Temporal brain microRNA expression changes in a mouse model of neonatal hypoxic-ischemic injury. </w:t>
      </w:r>
      <w:r>
        <w:rPr>
          <w:rFonts w:ascii="Arial" w:eastAsiaTheme="minorHAnsi" w:hAnsi="Arial" w:cs="Arial"/>
          <w:i/>
          <w:iCs/>
          <w:sz w:val="22"/>
          <w:szCs w:val="22"/>
        </w:rPr>
        <w:t>Pediatric Research</w:t>
      </w:r>
      <w:r>
        <w:rPr>
          <w:rFonts w:ascii="Arial" w:eastAsiaTheme="minorHAnsi" w:hAnsi="Arial" w:cs="Arial"/>
          <w:sz w:val="22"/>
          <w:szCs w:val="22"/>
        </w:rPr>
        <w:t>. 2022 Jan;91(1):92-100.</w:t>
      </w:r>
    </w:p>
    <w:p w14:paraId="06AEEAC1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sz w:val="22"/>
          <w:szCs w:val="22"/>
        </w:rPr>
        <w:t xml:space="preserve">Dave A, Peeples ES. Cholesterol metabolism and brain injury in neonatal encephalopathy. </w:t>
      </w:r>
      <w:r>
        <w:rPr>
          <w:rFonts w:ascii="Arial" w:eastAsiaTheme="minorHAnsi" w:hAnsi="Arial" w:cs="Arial"/>
          <w:i/>
          <w:iCs/>
          <w:sz w:val="22"/>
          <w:szCs w:val="22"/>
        </w:rPr>
        <w:t>Pediatric Research</w:t>
      </w:r>
      <w:r>
        <w:rPr>
          <w:rFonts w:ascii="Arial" w:eastAsiaTheme="minorHAnsi" w:hAnsi="Arial" w:cs="Arial"/>
          <w:sz w:val="22"/>
          <w:szCs w:val="22"/>
        </w:rPr>
        <w:t>. 2021 Jul;90(1):37-44.</w:t>
      </w:r>
    </w:p>
    <w:p w14:paraId="7F70A09D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sz w:val="22"/>
          <w:szCs w:val="22"/>
        </w:rPr>
        <w:t xml:space="preserve">Marsh K, Young H, Peeples ES. Increasing Skin to Skin in a Level IV Neonatal Intensive Care Unit: A Quality Improvement Project. </w:t>
      </w:r>
      <w:r>
        <w:rPr>
          <w:rFonts w:ascii="Arial" w:eastAsiaTheme="minorHAnsi" w:hAnsi="Arial" w:cs="Arial"/>
          <w:i/>
          <w:iCs/>
          <w:sz w:val="22"/>
          <w:szCs w:val="22"/>
        </w:rPr>
        <w:t>Neonatal Network: The Journal of Neonatal Nursing</w:t>
      </w:r>
      <w:r>
        <w:rPr>
          <w:rFonts w:ascii="Arial" w:eastAsiaTheme="minorHAnsi" w:hAnsi="Arial" w:cs="Arial"/>
          <w:sz w:val="22"/>
          <w:szCs w:val="22"/>
        </w:rPr>
        <w:t>. 2021 Mar/Apr; 40(2):80-87.</w:t>
      </w:r>
    </w:p>
    <w:p w14:paraId="1ECEA834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sz w:val="22"/>
          <w:szCs w:val="22"/>
        </w:rPr>
        <w:t xml:space="preserve">Marinelli KC, </w:t>
      </w:r>
      <w:proofErr w:type="spellStart"/>
      <w:r>
        <w:rPr>
          <w:rFonts w:ascii="Arial" w:eastAsiaTheme="minorHAnsi" w:hAnsi="Arial" w:cs="Arial"/>
          <w:sz w:val="22"/>
          <w:szCs w:val="22"/>
        </w:rPr>
        <w:t>Lyden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ER, Peeples ES. Clinical risk factors for the development of late-onset circulatory collapse in premature infants. </w:t>
      </w:r>
      <w:r>
        <w:rPr>
          <w:rFonts w:ascii="Arial" w:eastAsiaTheme="minorHAnsi" w:hAnsi="Arial" w:cs="Arial"/>
          <w:i/>
          <w:iCs/>
          <w:sz w:val="22"/>
          <w:szCs w:val="22"/>
        </w:rPr>
        <w:t xml:space="preserve">Pediatric Research. </w:t>
      </w:r>
      <w:r>
        <w:rPr>
          <w:rFonts w:ascii="Arial" w:eastAsiaTheme="minorHAnsi" w:hAnsi="Arial" w:cs="Arial"/>
          <w:sz w:val="22"/>
          <w:szCs w:val="22"/>
        </w:rPr>
        <w:t>2021 Mar;89(4):963-973.</w:t>
      </w:r>
    </w:p>
    <w:p w14:paraId="7917A349" w14:textId="77777777" w:rsidR="00DA21FA" w:rsidRDefault="00DA21FA" w:rsidP="00DA21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eastAsiaTheme="minorHAnsi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sz w:val="22"/>
          <w:szCs w:val="22"/>
        </w:rPr>
        <w:t xml:space="preserve">Peeples ES, Rao R, </w:t>
      </w:r>
      <w:proofErr w:type="spellStart"/>
      <w:r>
        <w:rPr>
          <w:rFonts w:ascii="Arial" w:eastAsiaTheme="minorHAnsi" w:hAnsi="Arial" w:cs="Arial"/>
          <w:sz w:val="22"/>
          <w:szCs w:val="22"/>
        </w:rPr>
        <w:t>Dizon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MLV, Johnson Y, Joe P, </w:t>
      </w:r>
      <w:proofErr w:type="spellStart"/>
      <w:r>
        <w:rPr>
          <w:rFonts w:ascii="Arial" w:eastAsiaTheme="minorHAnsi" w:hAnsi="Arial" w:cs="Arial"/>
          <w:sz w:val="22"/>
          <w:szCs w:val="22"/>
        </w:rPr>
        <w:t>Flibotte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J, Hossain T, Smith D, Hamrick S, </w:t>
      </w:r>
      <w:proofErr w:type="spellStart"/>
      <w:r>
        <w:rPr>
          <w:rFonts w:ascii="Arial" w:eastAsiaTheme="minorHAnsi" w:hAnsi="Arial" w:cs="Arial"/>
          <w:sz w:val="22"/>
          <w:szCs w:val="22"/>
        </w:rPr>
        <w:t>DiGeronimo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R, Natarajan G, Lee K, </w:t>
      </w:r>
      <w:proofErr w:type="spellStart"/>
      <w:r>
        <w:rPr>
          <w:rFonts w:ascii="Arial" w:eastAsiaTheme="minorHAnsi" w:hAnsi="Arial" w:cs="Arial"/>
          <w:sz w:val="22"/>
          <w:szCs w:val="22"/>
        </w:rPr>
        <w:t>Yanowitz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T, </w:t>
      </w:r>
      <w:proofErr w:type="spellStart"/>
      <w:r>
        <w:rPr>
          <w:rFonts w:ascii="Arial" w:eastAsiaTheme="minorHAnsi" w:hAnsi="Arial" w:cs="Arial"/>
          <w:sz w:val="22"/>
          <w:szCs w:val="22"/>
        </w:rPr>
        <w:t>Mietzsch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U, Wu T, </w:t>
      </w:r>
      <w:proofErr w:type="spellStart"/>
      <w:r>
        <w:rPr>
          <w:rFonts w:ascii="Arial" w:eastAsiaTheme="minorHAnsi" w:hAnsi="Arial" w:cs="Arial"/>
          <w:sz w:val="22"/>
          <w:szCs w:val="22"/>
        </w:rPr>
        <w:t>Maitre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N, </w:t>
      </w:r>
      <w:proofErr w:type="spellStart"/>
      <w:r>
        <w:rPr>
          <w:rFonts w:ascii="Arial" w:eastAsiaTheme="minorHAnsi" w:hAnsi="Arial" w:cs="Arial"/>
          <w:sz w:val="22"/>
          <w:szCs w:val="22"/>
        </w:rPr>
        <w:t>Pallotto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EK, </w:t>
      </w:r>
      <w:proofErr w:type="spellStart"/>
      <w:r>
        <w:rPr>
          <w:rFonts w:ascii="Arial" w:eastAsiaTheme="minorHAnsi" w:hAnsi="Arial" w:cs="Arial"/>
          <w:sz w:val="22"/>
          <w:szCs w:val="22"/>
        </w:rPr>
        <w:t>Speziale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M, Mathur AM, </w:t>
      </w:r>
      <w:proofErr w:type="spellStart"/>
      <w:r>
        <w:rPr>
          <w:rFonts w:ascii="Arial" w:eastAsiaTheme="minorHAnsi" w:hAnsi="Arial" w:cs="Arial"/>
          <w:sz w:val="22"/>
          <w:szCs w:val="22"/>
        </w:rPr>
        <w:t>Zaniletti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I, Massaro A. Predictive models of neurodevelopmental outcomes after neonatal hypoxic-ischemic encephalopathy using perinatal and neonatal factors. </w:t>
      </w:r>
      <w:r>
        <w:rPr>
          <w:rFonts w:ascii="Arial" w:eastAsiaTheme="minorHAnsi" w:hAnsi="Arial" w:cs="Arial"/>
          <w:i/>
          <w:iCs/>
          <w:sz w:val="22"/>
          <w:szCs w:val="22"/>
        </w:rPr>
        <w:t>Pediatrics</w:t>
      </w:r>
      <w:r>
        <w:rPr>
          <w:rFonts w:ascii="Arial" w:eastAsiaTheme="minorHAnsi" w:hAnsi="Arial" w:cs="Arial"/>
          <w:sz w:val="22"/>
          <w:szCs w:val="22"/>
        </w:rPr>
        <w:t>. 2021 Feb; 147(2):e2020022962.</w:t>
      </w:r>
    </w:p>
    <w:p w14:paraId="1AE023E7" w14:textId="77777777" w:rsidR="00DA21FA" w:rsidRDefault="00DA21FA" w:rsidP="00DA21FA">
      <w:pPr>
        <w:ind w:left="360"/>
        <w:rPr>
          <w:rFonts w:ascii="Arial" w:eastAsiaTheme="minorHAnsi" w:hAnsi="Arial" w:cs="Arial"/>
          <w:sz w:val="22"/>
          <w:szCs w:val="22"/>
          <w:u w:val="single"/>
        </w:rPr>
      </w:pPr>
    </w:p>
    <w:p w14:paraId="351FD4AB" w14:textId="77777777" w:rsidR="002D6304" w:rsidRDefault="002D6304"/>
    <w:sectPr w:rsidR="002D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25197"/>
    <w:multiLevelType w:val="multilevel"/>
    <w:tmpl w:val="4E8246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FA"/>
    <w:rsid w:val="002D6304"/>
    <w:rsid w:val="0045573F"/>
    <w:rsid w:val="00D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786E"/>
  <w15:chartTrackingRefBased/>
  <w15:docId w15:val="{2A6E594D-BA30-47BD-9AEF-264BFACF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FA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1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Bowder, Mary</dc:creator>
  <cp:keywords/>
  <dc:description/>
  <cp:lastModifiedBy>Koster, Chuck</cp:lastModifiedBy>
  <cp:revision>2</cp:revision>
  <dcterms:created xsi:type="dcterms:W3CDTF">2022-07-27T19:54:00Z</dcterms:created>
  <dcterms:modified xsi:type="dcterms:W3CDTF">2022-07-27T19:54:00Z</dcterms:modified>
</cp:coreProperties>
</file>