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D08B8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Peeples ES, Comstock BA, </w:t>
      </w:r>
      <w:proofErr w:type="spellStart"/>
      <w:r>
        <w:rPr>
          <w:rFonts w:ascii="Arial" w:eastAsiaTheme="minorHAnsi" w:hAnsi="Arial" w:cs="Arial"/>
          <w:sz w:val="22"/>
          <w:szCs w:val="22"/>
        </w:rPr>
        <w:t>Heagerty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PJ, Juul SE. Blood Pressure Values and Hypotension Management in Extremely Preterm Infants: A Multi-Center Study. </w:t>
      </w:r>
      <w:r>
        <w:rPr>
          <w:rFonts w:ascii="Arial" w:eastAsiaTheme="minorHAnsi" w:hAnsi="Arial" w:cs="Arial"/>
          <w:i/>
          <w:iCs/>
          <w:sz w:val="22"/>
          <w:szCs w:val="22"/>
        </w:rPr>
        <w:t>J Perinatology</w:t>
      </w:r>
      <w:r>
        <w:rPr>
          <w:rFonts w:ascii="Arial" w:eastAsiaTheme="minorHAnsi" w:hAnsi="Arial" w:cs="Arial"/>
          <w:sz w:val="22"/>
          <w:szCs w:val="22"/>
        </w:rPr>
        <w:t xml:space="preserve">. 2022 Jun 17, </w:t>
      </w:r>
      <w:proofErr w:type="spellStart"/>
      <w:r>
        <w:rPr>
          <w:rFonts w:ascii="Arial" w:eastAsiaTheme="minorHAnsi" w:hAnsi="Arial" w:cs="Arial"/>
          <w:sz w:val="22"/>
          <w:szCs w:val="22"/>
        </w:rPr>
        <w:t>Epub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ahead of print.</w:t>
      </w:r>
    </w:p>
    <w:p w14:paraId="51844CBD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Dave A, Genaro-Mattos TC, Korade Z, Peeples ES. Neonatal Hypoxic-Ischemic Brain Injury Alters Brain Acylcarnitine Levels in a Mouse Model. </w:t>
      </w:r>
      <w:r>
        <w:rPr>
          <w:rFonts w:ascii="Arial" w:eastAsiaTheme="minorHAnsi" w:hAnsi="Arial" w:cs="Arial"/>
          <w:i/>
          <w:iCs/>
          <w:sz w:val="22"/>
          <w:szCs w:val="22"/>
        </w:rPr>
        <w:t xml:space="preserve">Metabolites. </w:t>
      </w:r>
      <w:r>
        <w:rPr>
          <w:rFonts w:ascii="Arial" w:eastAsiaTheme="minorHAnsi" w:hAnsi="Arial" w:cs="Arial"/>
          <w:sz w:val="22"/>
          <w:szCs w:val="22"/>
        </w:rPr>
        <w:t>2022 May;12(5):467.</w:t>
      </w:r>
    </w:p>
    <w:p w14:paraId="5B80DCF4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Natarajan G, Hamrick SE, </w:t>
      </w:r>
      <w:proofErr w:type="spellStart"/>
      <w:r>
        <w:rPr>
          <w:rFonts w:ascii="Arial" w:eastAsiaTheme="minorHAnsi" w:hAnsi="Arial" w:cs="Arial"/>
          <w:sz w:val="22"/>
          <w:szCs w:val="22"/>
        </w:rPr>
        <w:t>Zaniletti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I, Lee KS, </w:t>
      </w:r>
      <w:proofErr w:type="spellStart"/>
      <w:r>
        <w:rPr>
          <w:rFonts w:ascii="Arial" w:eastAsiaTheme="minorHAnsi" w:hAnsi="Arial" w:cs="Arial"/>
          <w:sz w:val="22"/>
          <w:szCs w:val="22"/>
        </w:rPr>
        <w:t>Mietzsch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U, </w:t>
      </w:r>
      <w:proofErr w:type="spellStart"/>
      <w:r>
        <w:rPr>
          <w:rFonts w:ascii="Arial" w:eastAsiaTheme="minorHAnsi" w:hAnsi="Arial" w:cs="Arial"/>
          <w:sz w:val="22"/>
          <w:szCs w:val="22"/>
        </w:rPr>
        <w:t>DiGeronimo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R, </w:t>
      </w:r>
      <w:proofErr w:type="spellStart"/>
      <w:r>
        <w:rPr>
          <w:rFonts w:ascii="Arial" w:eastAsiaTheme="minorHAnsi" w:hAnsi="Arial" w:cs="Arial"/>
          <w:sz w:val="22"/>
          <w:szCs w:val="22"/>
        </w:rPr>
        <w:t>Dizon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MLV, Peeples ES, </w:t>
      </w:r>
      <w:proofErr w:type="spellStart"/>
      <w:r>
        <w:rPr>
          <w:rFonts w:ascii="Arial" w:eastAsiaTheme="minorHAnsi" w:hAnsi="Arial" w:cs="Arial"/>
          <w:sz w:val="22"/>
          <w:szCs w:val="22"/>
        </w:rPr>
        <w:t>Yanowitz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T, Wu TW, </w:t>
      </w:r>
      <w:proofErr w:type="spellStart"/>
      <w:r>
        <w:rPr>
          <w:rFonts w:ascii="Arial" w:eastAsiaTheme="minorHAnsi" w:hAnsi="Arial" w:cs="Arial"/>
          <w:sz w:val="22"/>
          <w:szCs w:val="22"/>
        </w:rPr>
        <w:t>Flibotte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H, Joe P, Massaro A, Rao R. Opioid Exposure During Therapeutic Hypothermia and Short-Term Outcomes in Neonatal Encephalopathy. </w:t>
      </w:r>
      <w:r>
        <w:rPr>
          <w:rFonts w:ascii="Arial" w:eastAsiaTheme="minorHAnsi" w:hAnsi="Arial" w:cs="Arial"/>
          <w:i/>
          <w:iCs/>
          <w:sz w:val="22"/>
          <w:szCs w:val="22"/>
        </w:rPr>
        <w:t>J Perinatology</w:t>
      </w:r>
      <w:r>
        <w:rPr>
          <w:rFonts w:ascii="Arial" w:eastAsiaTheme="minorHAnsi" w:hAnsi="Arial" w:cs="Arial"/>
          <w:sz w:val="22"/>
          <w:szCs w:val="22"/>
        </w:rPr>
        <w:t xml:space="preserve">. 2022 Apr 26, </w:t>
      </w:r>
      <w:proofErr w:type="spellStart"/>
      <w:r>
        <w:rPr>
          <w:rFonts w:ascii="Arial" w:eastAsiaTheme="minorHAnsi" w:hAnsi="Arial" w:cs="Arial"/>
          <w:sz w:val="22"/>
          <w:szCs w:val="22"/>
        </w:rPr>
        <w:t>Epub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ahead of print.</w:t>
      </w:r>
    </w:p>
    <w:p w14:paraId="79A964DD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Lawson A, Snyder W, Peeples ES. Intranasal administration of extracellular vesicles mitigates apoptosis in a mouse model of neonatal hypoxic-ischemic brain injury. </w:t>
      </w:r>
      <w:r>
        <w:rPr>
          <w:rFonts w:ascii="Arial" w:eastAsiaTheme="minorHAnsi" w:hAnsi="Arial" w:cs="Arial"/>
          <w:i/>
          <w:iCs/>
          <w:sz w:val="22"/>
          <w:szCs w:val="22"/>
        </w:rPr>
        <w:t>Neonatology</w:t>
      </w:r>
      <w:r>
        <w:rPr>
          <w:rFonts w:ascii="Arial" w:eastAsiaTheme="minorHAnsi" w:hAnsi="Arial" w:cs="Arial"/>
          <w:sz w:val="22"/>
          <w:szCs w:val="22"/>
        </w:rPr>
        <w:t xml:space="preserve">. 2022 Mar 25, </w:t>
      </w:r>
      <w:proofErr w:type="spellStart"/>
      <w:r>
        <w:rPr>
          <w:rFonts w:ascii="Arial" w:eastAsiaTheme="minorHAnsi" w:hAnsi="Arial" w:cs="Arial"/>
          <w:sz w:val="22"/>
          <w:szCs w:val="22"/>
        </w:rPr>
        <w:t>Epub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ahead of print.</w:t>
      </w:r>
    </w:p>
    <w:p w14:paraId="728F6586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Peeples ES, Sahar N, Snyder W, Mirnics K. Early brain microRNA and mRNA expression profiles are region-specific after neonatal hypoxic-ischemic injury in a mouse model. </w:t>
      </w:r>
      <w:r>
        <w:rPr>
          <w:rFonts w:ascii="Arial" w:eastAsiaTheme="minorHAnsi" w:hAnsi="Arial" w:cs="Arial"/>
          <w:i/>
          <w:iCs/>
          <w:sz w:val="22"/>
          <w:szCs w:val="22"/>
        </w:rPr>
        <w:t>Frontiers in Genetics</w:t>
      </w:r>
      <w:r>
        <w:rPr>
          <w:rFonts w:ascii="Arial" w:eastAsiaTheme="minorHAnsi" w:hAnsi="Arial" w:cs="Arial"/>
          <w:sz w:val="22"/>
          <w:szCs w:val="22"/>
        </w:rPr>
        <w:t>. 2022 Feb 16;13:841043.</w:t>
      </w:r>
    </w:p>
    <w:p w14:paraId="0236AD9C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Peeples ES, Sahar N, Snyder W, Mirnics K. Temporal brain microRNA expression changes in a mouse model of neonatal hypoxic-ischemic injury. </w:t>
      </w:r>
      <w:r>
        <w:rPr>
          <w:rFonts w:ascii="Arial" w:eastAsiaTheme="minorHAnsi" w:hAnsi="Arial" w:cs="Arial"/>
          <w:i/>
          <w:iCs/>
          <w:sz w:val="22"/>
          <w:szCs w:val="22"/>
        </w:rPr>
        <w:t>Pediatric Research</w:t>
      </w:r>
      <w:r>
        <w:rPr>
          <w:rFonts w:ascii="Arial" w:eastAsiaTheme="minorHAnsi" w:hAnsi="Arial" w:cs="Arial"/>
          <w:sz w:val="22"/>
          <w:szCs w:val="22"/>
        </w:rPr>
        <w:t>. 2022 Jan;91(1):92-100.</w:t>
      </w:r>
    </w:p>
    <w:p w14:paraId="06AEEAC1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Dave A, Peeples ES. Cholesterol metabolism and brain injury in neonatal encephalopathy. </w:t>
      </w:r>
      <w:r>
        <w:rPr>
          <w:rFonts w:ascii="Arial" w:eastAsiaTheme="minorHAnsi" w:hAnsi="Arial" w:cs="Arial"/>
          <w:i/>
          <w:iCs/>
          <w:sz w:val="22"/>
          <w:szCs w:val="22"/>
        </w:rPr>
        <w:t>Pediatric Research</w:t>
      </w:r>
      <w:r>
        <w:rPr>
          <w:rFonts w:ascii="Arial" w:eastAsiaTheme="minorHAnsi" w:hAnsi="Arial" w:cs="Arial"/>
          <w:sz w:val="22"/>
          <w:szCs w:val="22"/>
        </w:rPr>
        <w:t>. 2021 Jul;90(1):37-44.</w:t>
      </w:r>
    </w:p>
    <w:p w14:paraId="7F70A09D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Marsh K, Young H, Peeples ES. Increasing Skin to Skin in a Level IV Neonatal Intensive Care Unit: A Quality Improvement Project. </w:t>
      </w:r>
      <w:r>
        <w:rPr>
          <w:rFonts w:ascii="Arial" w:eastAsiaTheme="minorHAnsi" w:hAnsi="Arial" w:cs="Arial"/>
          <w:i/>
          <w:iCs/>
          <w:sz w:val="22"/>
          <w:szCs w:val="22"/>
        </w:rPr>
        <w:t>Neonatal Network: The Journal of Neonatal Nursing</w:t>
      </w:r>
      <w:r>
        <w:rPr>
          <w:rFonts w:ascii="Arial" w:eastAsiaTheme="minorHAnsi" w:hAnsi="Arial" w:cs="Arial"/>
          <w:sz w:val="22"/>
          <w:szCs w:val="22"/>
        </w:rPr>
        <w:t>. 2021 Mar/Apr; 40(2):80-87.</w:t>
      </w:r>
    </w:p>
    <w:p w14:paraId="1ECEA834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Marinelli KC, </w:t>
      </w:r>
      <w:proofErr w:type="spellStart"/>
      <w:r>
        <w:rPr>
          <w:rFonts w:ascii="Arial" w:eastAsiaTheme="minorHAnsi" w:hAnsi="Arial" w:cs="Arial"/>
          <w:sz w:val="22"/>
          <w:szCs w:val="22"/>
        </w:rPr>
        <w:t>Lyden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ER, Peeples ES. Clinical risk factors for the development of late-onset circulatory collapse in premature infants. </w:t>
      </w:r>
      <w:r>
        <w:rPr>
          <w:rFonts w:ascii="Arial" w:eastAsiaTheme="minorHAnsi" w:hAnsi="Arial" w:cs="Arial"/>
          <w:i/>
          <w:iCs/>
          <w:sz w:val="22"/>
          <w:szCs w:val="22"/>
        </w:rPr>
        <w:t xml:space="preserve">Pediatric Research. </w:t>
      </w:r>
      <w:r>
        <w:rPr>
          <w:rFonts w:ascii="Arial" w:eastAsiaTheme="minorHAnsi" w:hAnsi="Arial" w:cs="Arial"/>
          <w:sz w:val="22"/>
          <w:szCs w:val="22"/>
        </w:rPr>
        <w:t>2021 Mar;89(4):963-973.</w:t>
      </w:r>
    </w:p>
    <w:p w14:paraId="7917A349" w14:textId="77777777" w:rsidR="00DA21FA" w:rsidRDefault="00DA21FA" w:rsidP="00DA21F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eastAsiaTheme="minorHAnsi" w:hAnsi="Arial" w:cs="Arial"/>
          <w:sz w:val="22"/>
          <w:szCs w:val="22"/>
          <w:u w:val="single"/>
        </w:rPr>
      </w:pPr>
      <w:r>
        <w:rPr>
          <w:rFonts w:ascii="Arial" w:eastAsiaTheme="minorHAnsi" w:hAnsi="Arial" w:cs="Arial"/>
          <w:sz w:val="22"/>
          <w:szCs w:val="22"/>
        </w:rPr>
        <w:t xml:space="preserve">Peeples ES, Rao R, </w:t>
      </w:r>
      <w:proofErr w:type="spellStart"/>
      <w:r>
        <w:rPr>
          <w:rFonts w:ascii="Arial" w:eastAsiaTheme="minorHAnsi" w:hAnsi="Arial" w:cs="Arial"/>
          <w:sz w:val="22"/>
          <w:szCs w:val="22"/>
        </w:rPr>
        <w:t>Dizon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MLV, Johnson Y, Joe P, </w:t>
      </w:r>
      <w:proofErr w:type="spellStart"/>
      <w:r>
        <w:rPr>
          <w:rFonts w:ascii="Arial" w:eastAsiaTheme="minorHAnsi" w:hAnsi="Arial" w:cs="Arial"/>
          <w:sz w:val="22"/>
          <w:szCs w:val="22"/>
        </w:rPr>
        <w:t>Flibotte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J, Hossain T, Smith D, Hamrick S, </w:t>
      </w:r>
      <w:proofErr w:type="spellStart"/>
      <w:r>
        <w:rPr>
          <w:rFonts w:ascii="Arial" w:eastAsiaTheme="minorHAnsi" w:hAnsi="Arial" w:cs="Arial"/>
          <w:sz w:val="22"/>
          <w:szCs w:val="22"/>
        </w:rPr>
        <w:t>DiGeronimo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R, Natarajan G, Lee K, </w:t>
      </w:r>
      <w:proofErr w:type="spellStart"/>
      <w:r>
        <w:rPr>
          <w:rFonts w:ascii="Arial" w:eastAsiaTheme="minorHAnsi" w:hAnsi="Arial" w:cs="Arial"/>
          <w:sz w:val="22"/>
          <w:szCs w:val="22"/>
        </w:rPr>
        <w:t>Yanowitz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T, </w:t>
      </w:r>
      <w:proofErr w:type="spellStart"/>
      <w:r>
        <w:rPr>
          <w:rFonts w:ascii="Arial" w:eastAsiaTheme="minorHAnsi" w:hAnsi="Arial" w:cs="Arial"/>
          <w:sz w:val="22"/>
          <w:szCs w:val="22"/>
        </w:rPr>
        <w:t>Mietzsch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U, Wu T, </w:t>
      </w:r>
      <w:proofErr w:type="spellStart"/>
      <w:r>
        <w:rPr>
          <w:rFonts w:ascii="Arial" w:eastAsiaTheme="minorHAnsi" w:hAnsi="Arial" w:cs="Arial"/>
          <w:sz w:val="22"/>
          <w:szCs w:val="22"/>
        </w:rPr>
        <w:t>Maitre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N, </w:t>
      </w:r>
      <w:proofErr w:type="spellStart"/>
      <w:r>
        <w:rPr>
          <w:rFonts w:ascii="Arial" w:eastAsiaTheme="minorHAnsi" w:hAnsi="Arial" w:cs="Arial"/>
          <w:sz w:val="22"/>
          <w:szCs w:val="22"/>
        </w:rPr>
        <w:t>Pallotto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EK, </w:t>
      </w:r>
      <w:proofErr w:type="spellStart"/>
      <w:r>
        <w:rPr>
          <w:rFonts w:ascii="Arial" w:eastAsiaTheme="minorHAnsi" w:hAnsi="Arial" w:cs="Arial"/>
          <w:sz w:val="22"/>
          <w:szCs w:val="22"/>
        </w:rPr>
        <w:t>Speziale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M, Mathur AM, </w:t>
      </w:r>
      <w:proofErr w:type="spellStart"/>
      <w:r>
        <w:rPr>
          <w:rFonts w:ascii="Arial" w:eastAsiaTheme="minorHAnsi" w:hAnsi="Arial" w:cs="Arial"/>
          <w:sz w:val="22"/>
          <w:szCs w:val="22"/>
        </w:rPr>
        <w:t>Zaniletti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I, Massaro A. Predictive models of neurodevelopmental outcomes after neonatal hypoxic-ischemic encephalopathy using perinatal and neonatal factors. </w:t>
      </w:r>
      <w:r>
        <w:rPr>
          <w:rFonts w:ascii="Arial" w:eastAsiaTheme="minorHAnsi" w:hAnsi="Arial" w:cs="Arial"/>
          <w:i/>
          <w:iCs/>
          <w:sz w:val="22"/>
          <w:szCs w:val="22"/>
        </w:rPr>
        <w:t>Pediatrics</w:t>
      </w:r>
      <w:r>
        <w:rPr>
          <w:rFonts w:ascii="Arial" w:eastAsiaTheme="minorHAnsi" w:hAnsi="Arial" w:cs="Arial"/>
          <w:sz w:val="22"/>
          <w:szCs w:val="22"/>
        </w:rPr>
        <w:t>. 2021 Feb; 147(2):e2020022962.</w:t>
      </w:r>
    </w:p>
    <w:p w14:paraId="1AE023E7" w14:textId="77777777" w:rsidR="00DA21FA" w:rsidRDefault="00DA21FA" w:rsidP="00DA21FA">
      <w:pPr>
        <w:ind w:left="360"/>
        <w:rPr>
          <w:rFonts w:ascii="Arial" w:eastAsiaTheme="minorHAnsi" w:hAnsi="Arial" w:cs="Arial"/>
          <w:sz w:val="22"/>
          <w:szCs w:val="22"/>
          <w:u w:val="single"/>
        </w:rPr>
      </w:pPr>
    </w:p>
    <w:p w14:paraId="351FD4AB" w14:textId="77777777" w:rsidR="002D6304" w:rsidRDefault="002D6304"/>
    <w:sectPr w:rsidR="002D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25197"/>
    <w:multiLevelType w:val="multilevel"/>
    <w:tmpl w:val="4E8246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FA"/>
    <w:rsid w:val="002D6304"/>
    <w:rsid w:val="0045573F"/>
    <w:rsid w:val="00D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786E"/>
  <w15:chartTrackingRefBased/>
  <w15:docId w15:val="{2A6E594D-BA30-47BD-9AEF-264BFAC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FA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21F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Bowder, Mary</dc:creator>
  <cp:keywords/>
  <dc:description/>
  <cp:lastModifiedBy>Koster, Chuck</cp:lastModifiedBy>
  <cp:revision>2</cp:revision>
  <dcterms:created xsi:type="dcterms:W3CDTF">2022-07-27T19:54:00Z</dcterms:created>
  <dcterms:modified xsi:type="dcterms:W3CDTF">2022-07-27T19:54:00Z</dcterms:modified>
</cp:coreProperties>
</file>