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F2328" w:rsidRPr="0016712F" w:rsidRDefault="008F2328">
      <w:pPr>
        <w:rPr>
          <w:b/>
        </w:rPr>
      </w:pPr>
    </w:p>
    <w:p w14:paraId="0A37501D" w14:textId="77777777" w:rsidR="00C03498" w:rsidRDefault="0011119A" w:rsidP="2D783027">
      <w:pPr>
        <w:jc w:val="center"/>
        <w:rPr>
          <w:rFonts w:ascii="Arial" w:hAnsi="Arial" w:cs="Arial"/>
          <w:b/>
          <w:bCs/>
          <w:sz w:val="24"/>
          <w:szCs w:val="24"/>
        </w:rPr>
      </w:pPr>
      <w:r>
        <w:rPr>
          <w:noProof/>
        </w:rPr>
        <w:drawing>
          <wp:inline distT="0" distB="0" distL="0" distR="0" wp14:anchorId="5F990F79" wp14:editId="122856B3">
            <wp:extent cx="5205904" cy="1173630"/>
            <wp:effectExtent l="0" t="0" r="0" b="0"/>
            <wp:docPr id="2139807086" name="Picture 2139807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205904" cy="1173630"/>
                    </a:xfrm>
                    <a:prstGeom prst="rect">
                      <a:avLst/>
                    </a:prstGeom>
                  </pic:spPr>
                </pic:pic>
              </a:graphicData>
            </a:graphic>
          </wp:inline>
        </w:drawing>
      </w:r>
    </w:p>
    <w:p w14:paraId="37C7F4CB" w14:textId="77777777" w:rsidR="00FA697E" w:rsidRPr="00584157" w:rsidRDefault="6793225E" w:rsidP="00C430B4">
      <w:pPr>
        <w:jc w:val="center"/>
        <w:rPr>
          <w:rFonts w:ascii="Arial" w:hAnsi="Arial" w:cs="Arial"/>
          <w:b/>
          <w:sz w:val="32"/>
          <w:szCs w:val="24"/>
        </w:rPr>
      </w:pPr>
      <w:r w:rsidRPr="6793225E">
        <w:rPr>
          <w:rFonts w:ascii="Arial" w:hAnsi="Arial" w:cs="Arial"/>
          <w:b/>
          <w:bCs/>
          <w:sz w:val="32"/>
          <w:szCs w:val="32"/>
        </w:rPr>
        <w:t xml:space="preserve">DEPARTMENT OF RADIOLOGY </w:t>
      </w:r>
    </w:p>
    <w:p w14:paraId="45E94C3F" w14:textId="273A5A74" w:rsidR="6793225E" w:rsidRDefault="6793225E" w:rsidP="6793225E">
      <w:pPr>
        <w:jc w:val="center"/>
      </w:pPr>
      <w:r w:rsidRPr="6793225E">
        <w:rPr>
          <w:rFonts w:ascii="Arial" w:eastAsia="Arial" w:hAnsi="Arial" w:cs="Arial"/>
          <w:b/>
          <w:bCs/>
          <w:sz w:val="24"/>
          <w:szCs w:val="24"/>
        </w:rPr>
        <w:t>PRE-MEDIATION PROTOCOLS FOR PATIENTS WITH PRIOR HISTORY OF REACTIONS TO RADIOGRAPHIC CONTRAST MEDIA</w:t>
      </w:r>
    </w:p>
    <w:p w14:paraId="1240FBF9" w14:textId="66412403" w:rsidR="6793225E" w:rsidRDefault="6793225E" w:rsidP="6793225E">
      <w:pPr>
        <w:jc w:val="center"/>
      </w:pPr>
      <w:r w:rsidRPr="6793225E">
        <w:rPr>
          <w:rFonts w:ascii="Arial" w:eastAsia="Arial" w:hAnsi="Arial" w:cs="Arial"/>
          <w:b/>
          <w:bCs/>
          <w:sz w:val="24"/>
          <w:szCs w:val="24"/>
          <w:u w:val="single"/>
        </w:rPr>
        <w:t xml:space="preserve"> </w:t>
      </w:r>
    </w:p>
    <w:p w14:paraId="4223E98C" w14:textId="5EF512EE" w:rsidR="6793225E" w:rsidRDefault="6793225E" w:rsidP="6793225E">
      <w:r w:rsidRPr="6793225E">
        <w:rPr>
          <w:rFonts w:ascii="Arial" w:eastAsia="Arial" w:hAnsi="Arial" w:cs="Arial"/>
          <w:b/>
          <w:bCs/>
          <w:sz w:val="24"/>
          <w:szCs w:val="24"/>
          <w:u w:val="single"/>
        </w:rPr>
        <w:t xml:space="preserve">Who needs </w:t>
      </w:r>
      <w:proofErr w:type="gramStart"/>
      <w:r w:rsidRPr="6793225E">
        <w:rPr>
          <w:rFonts w:ascii="Arial" w:eastAsia="Arial" w:hAnsi="Arial" w:cs="Arial"/>
          <w:b/>
          <w:bCs/>
          <w:sz w:val="24"/>
          <w:szCs w:val="24"/>
          <w:u w:val="single"/>
        </w:rPr>
        <w:t>pre medication</w:t>
      </w:r>
      <w:proofErr w:type="gramEnd"/>
      <w:r w:rsidRPr="6793225E">
        <w:rPr>
          <w:rFonts w:ascii="Arial" w:eastAsia="Arial" w:hAnsi="Arial" w:cs="Arial"/>
          <w:b/>
          <w:bCs/>
          <w:sz w:val="24"/>
          <w:szCs w:val="24"/>
          <w:u w:val="single"/>
        </w:rPr>
        <w:t>:</w:t>
      </w:r>
      <w:r w:rsidRPr="6793225E">
        <w:rPr>
          <w:rFonts w:ascii="Arial" w:eastAsia="Arial" w:hAnsi="Arial" w:cs="Arial"/>
          <w:sz w:val="24"/>
          <w:szCs w:val="24"/>
        </w:rPr>
        <w:t xml:space="preserve"> Patients with a prior allergic-like reaction to iodinated contrast for CT, IVP, IR, fluoroscopic gastrointestinal, </w:t>
      </w:r>
      <w:proofErr w:type="spellStart"/>
      <w:r w:rsidRPr="6793225E">
        <w:rPr>
          <w:rFonts w:ascii="Arial" w:eastAsia="Arial" w:hAnsi="Arial" w:cs="Arial"/>
          <w:sz w:val="24"/>
          <w:szCs w:val="24"/>
        </w:rPr>
        <w:t>arthrographic</w:t>
      </w:r>
      <w:proofErr w:type="spellEnd"/>
      <w:r w:rsidRPr="6793225E">
        <w:rPr>
          <w:rFonts w:ascii="Arial" w:eastAsia="Arial" w:hAnsi="Arial" w:cs="Arial"/>
          <w:sz w:val="24"/>
          <w:szCs w:val="24"/>
        </w:rPr>
        <w:t xml:space="preserve"> or </w:t>
      </w:r>
      <w:proofErr w:type="spellStart"/>
      <w:r w:rsidRPr="6793225E">
        <w:rPr>
          <w:rFonts w:ascii="Arial" w:eastAsia="Arial" w:hAnsi="Arial" w:cs="Arial"/>
          <w:sz w:val="24"/>
          <w:szCs w:val="24"/>
        </w:rPr>
        <w:t>myelographic</w:t>
      </w:r>
      <w:proofErr w:type="spellEnd"/>
      <w:r w:rsidRPr="6793225E">
        <w:rPr>
          <w:rFonts w:ascii="Arial" w:eastAsia="Arial" w:hAnsi="Arial" w:cs="Arial"/>
          <w:sz w:val="24"/>
          <w:szCs w:val="24"/>
        </w:rPr>
        <w:t xml:space="preserve"> studies, or gadolinium contrast for MRI, who will again receive the same class of contrast (IV, oral, or rectal, intra-articular or intrathecal).</w:t>
      </w:r>
    </w:p>
    <w:p w14:paraId="268B2357" w14:textId="10C8C3BE" w:rsidR="6793225E" w:rsidRDefault="6793225E" w:rsidP="6793225E">
      <w:r w:rsidRPr="6793225E">
        <w:rPr>
          <w:rFonts w:ascii="Arial" w:eastAsia="Arial" w:hAnsi="Arial" w:cs="Arial"/>
          <w:sz w:val="24"/>
          <w:szCs w:val="24"/>
        </w:rPr>
        <w:t xml:space="preserve"> </w:t>
      </w:r>
    </w:p>
    <w:p w14:paraId="65BEF8A5" w14:textId="30D2F8FE" w:rsidR="6793225E" w:rsidRDefault="6793225E" w:rsidP="6793225E">
      <w:r w:rsidRPr="6793225E">
        <w:rPr>
          <w:rFonts w:ascii="Arial" w:eastAsia="Arial" w:hAnsi="Arial" w:cs="Arial"/>
          <w:b/>
          <w:bCs/>
          <w:sz w:val="24"/>
          <w:szCs w:val="24"/>
        </w:rPr>
        <w:t>There is no cross reactivity between Gadolinium and Iodinated contrast agents, nor between these agents and shellfish or other seafood.</w:t>
      </w:r>
      <w:r w:rsidRPr="6793225E">
        <w:rPr>
          <w:rFonts w:ascii="Arial" w:eastAsia="Arial" w:hAnsi="Arial" w:cs="Arial"/>
          <w:sz w:val="24"/>
          <w:szCs w:val="24"/>
        </w:rPr>
        <w:t xml:space="preserve"> </w:t>
      </w:r>
    </w:p>
    <w:p w14:paraId="22D4325B" w14:textId="0B8F7366" w:rsidR="6793225E" w:rsidRDefault="6793225E" w:rsidP="6793225E">
      <w:r w:rsidRPr="6793225E">
        <w:rPr>
          <w:rFonts w:ascii="Arial" w:eastAsia="Arial" w:hAnsi="Arial" w:cs="Arial"/>
          <w:sz w:val="24"/>
          <w:szCs w:val="24"/>
        </w:rPr>
        <w:t xml:space="preserve">A previous allergic-like reaction to one of these contrast classes does not necessitate premedication for the other class, nor does an allergy to shellfish/seafood necessitate premedication for contrast. </w:t>
      </w:r>
    </w:p>
    <w:p w14:paraId="18F0A749" w14:textId="270263CA" w:rsidR="6793225E" w:rsidRDefault="6793225E" w:rsidP="6793225E">
      <w:r w:rsidRPr="6793225E">
        <w:rPr>
          <w:rFonts w:ascii="Arial" w:eastAsia="Arial" w:hAnsi="Arial" w:cs="Arial"/>
          <w:b/>
          <w:bCs/>
          <w:sz w:val="24"/>
          <w:szCs w:val="24"/>
        </w:rPr>
        <w:t xml:space="preserve"> </w:t>
      </w:r>
    </w:p>
    <w:p w14:paraId="75B391AF" w14:textId="05AB126F" w:rsidR="6793225E" w:rsidRDefault="6793225E" w:rsidP="6793225E">
      <w:r w:rsidRPr="6793225E">
        <w:rPr>
          <w:rFonts w:ascii="Arial" w:eastAsia="Arial" w:hAnsi="Arial" w:cs="Arial"/>
          <w:sz w:val="24"/>
          <w:szCs w:val="24"/>
        </w:rPr>
        <w:t xml:space="preserve">Allergic-like reactions to contrast media manifest </w:t>
      </w:r>
      <w:proofErr w:type="gramStart"/>
      <w:r w:rsidRPr="6793225E">
        <w:rPr>
          <w:rFonts w:ascii="Arial" w:eastAsia="Arial" w:hAnsi="Arial" w:cs="Arial"/>
          <w:sz w:val="24"/>
          <w:szCs w:val="24"/>
        </w:rPr>
        <w:t>similar to</w:t>
      </w:r>
      <w:proofErr w:type="gramEnd"/>
      <w:r w:rsidRPr="6793225E">
        <w:rPr>
          <w:rFonts w:ascii="Arial" w:eastAsia="Arial" w:hAnsi="Arial" w:cs="Arial"/>
          <w:sz w:val="24"/>
          <w:szCs w:val="24"/>
        </w:rPr>
        <w:t xml:space="preserve"> allergic reactions to other drugs and allergens, though are differentiated by the lack of a true allergen-antibody response, hence the semantic difference.</w:t>
      </w:r>
    </w:p>
    <w:p w14:paraId="7C7C7B11" w14:textId="3D1D3CB0" w:rsidR="6793225E" w:rsidRDefault="6793225E" w:rsidP="6793225E">
      <w:r w:rsidRPr="6793225E">
        <w:rPr>
          <w:rFonts w:ascii="Arial" w:eastAsia="Arial" w:hAnsi="Arial" w:cs="Arial"/>
          <w:sz w:val="24"/>
          <w:szCs w:val="24"/>
        </w:rPr>
        <w:t xml:space="preserve"> </w:t>
      </w:r>
    </w:p>
    <w:p w14:paraId="2FB1C61E" w14:textId="5D12A64A" w:rsidR="6793225E" w:rsidRDefault="6793225E" w:rsidP="6793225E">
      <w:r w:rsidRPr="6793225E">
        <w:rPr>
          <w:rFonts w:ascii="Arial" w:eastAsia="Arial" w:hAnsi="Arial" w:cs="Arial"/>
          <w:sz w:val="24"/>
          <w:szCs w:val="24"/>
          <w:u w:val="single"/>
        </w:rPr>
        <w:t>Mild allergic-like reactions</w:t>
      </w:r>
      <w:r w:rsidRPr="6793225E">
        <w:rPr>
          <w:rFonts w:ascii="Arial" w:eastAsia="Arial" w:hAnsi="Arial" w:cs="Arial"/>
          <w:sz w:val="24"/>
          <w:szCs w:val="24"/>
        </w:rPr>
        <w:t>: limited urticarial/pruritus; limited cutaneous edema; limited “itchy/scratchy” throat; nasal congestion, sneezing/conjunctivitis/rhinorrhea.</w:t>
      </w:r>
    </w:p>
    <w:p w14:paraId="2ABE903D" w14:textId="7B3ADF63" w:rsidR="6793225E" w:rsidRDefault="6793225E" w:rsidP="6793225E">
      <w:r w:rsidRPr="6793225E">
        <w:rPr>
          <w:rFonts w:ascii="Arial" w:eastAsia="Arial" w:hAnsi="Arial" w:cs="Arial"/>
          <w:sz w:val="24"/>
          <w:szCs w:val="24"/>
          <w:u w:val="single"/>
        </w:rPr>
        <w:t>Moderate allergic-like reactions</w:t>
      </w:r>
      <w:r w:rsidRPr="6793225E">
        <w:rPr>
          <w:rFonts w:ascii="Arial" w:eastAsia="Arial" w:hAnsi="Arial" w:cs="Arial"/>
          <w:sz w:val="24"/>
          <w:szCs w:val="24"/>
        </w:rPr>
        <w:t>: diffuse urticarial/pruritus; diffuse erythema, stable vital signs; facial edema without dyspnea; throat tightness or hoarseness without dyspnea; wheezing/bronchospasm with mild or no hypoxia.</w:t>
      </w:r>
    </w:p>
    <w:p w14:paraId="47E09767" w14:textId="045436E7" w:rsidR="6793225E" w:rsidRDefault="6793225E" w:rsidP="6793225E">
      <w:r w:rsidRPr="6793225E">
        <w:rPr>
          <w:rFonts w:ascii="Arial" w:eastAsia="Arial" w:hAnsi="Arial" w:cs="Arial"/>
          <w:sz w:val="24"/>
          <w:szCs w:val="24"/>
          <w:u w:val="single"/>
        </w:rPr>
        <w:t>Severe allergic-like reactions</w:t>
      </w:r>
      <w:r w:rsidRPr="6793225E">
        <w:rPr>
          <w:rFonts w:ascii="Arial" w:eastAsia="Arial" w:hAnsi="Arial" w:cs="Arial"/>
          <w:sz w:val="24"/>
          <w:szCs w:val="24"/>
        </w:rPr>
        <w:t>: diffuse edema, or facial edema with dyspnea; diffuse erythema with hypotension; laryngeal edema with stridor and/or hypoxia; wheezing/bronchospasm with significant hypoxia; anaphylactic shock (hypotension + tachycardia).</w:t>
      </w:r>
    </w:p>
    <w:p w14:paraId="707C5BA1" w14:textId="68C4D7FC" w:rsidR="6793225E" w:rsidRDefault="6793225E" w:rsidP="6793225E">
      <w:r w:rsidRPr="6793225E">
        <w:rPr>
          <w:rFonts w:ascii="Arial" w:eastAsia="Arial" w:hAnsi="Arial" w:cs="Arial"/>
          <w:b/>
          <w:bCs/>
          <w:sz w:val="24"/>
          <w:szCs w:val="24"/>
        </w:rPr>
        <w:t>History of severe allergic-like reaction warrants discussion of risks vs. benefits of the examination by a radiologist with the ordering provider prior to approval.</w:t>
      </w:r>
    </w:p>
    <w:p w14:paraId="20981C25" w14:textId="26D79CB8" w:rsidR="6793225E" w:rsidRDefault="6793225E" w:rsidP="6793225E">
      <w:r w:rsidRPr="6793225E">
        <w:rPr>
          <w:rFonts w:ascii="Arial" w:eastAsia="Arial" w:hAnsi="Arial" w:cs="Arial"/>
          <w:b/>
          <w:bCs/>
          <w:sz w:val="24"/>
          <w:szCs w:val="24"/>
        </w:rPr>
        <w:t xml:space="preserve"> </w:t>
      </w:r>
    </w:p>
    <w:p w14:paraId="49D43822" w14:textId="4BD23F34" w:rsidR="6793225E" w:rsidRDefault="6793225E" w:rsidP="6793225E">
      <w:r w:rsidRPr="6793225E">
        <w:rPr>
          <w:rFonts w:ascii="Arial" w:eastAsia="Arial" w:hAnsi="Arial" w:cs="Arial"/>
          <w:b/>
          <w:bCs/>
          <w:sz w:val="24"/>
          <w:szCs w:val="24"/>
        </w:rPr>
        <w:t>Physiologic reactions are not allergic and are not indications for corticosteroid premedication.</w:t>
      </w:r>
    </w:p>
    <w:p w14:paraId="5852F795" w14:textId="37FEBFB3" w:rsidR="6793225E" w:rsidRDefault="6793225E" w:rsidP="4C7F927D">
      <w:r w:rsidRPr="4C7F927D">
        <w:rPr>
          <w:rFonts w:ascii="Arial" w:eastAsia="Arial" w:hAnsi="Arial" w:cs="Arial"/>
          <w:sz w:val="24"/>
          <w:szCs w:val="24"/>
          <w:u w:val="single"/>
        </w:rPr>
        <w:t xml:space="preserve">Mild </w:t>
      </w:r>
      <w:proofErr w:type="spellStart"/>
      <w:r w:rsidRPr="4C7F927D">
        <w:rPr>
          <w:rFonts w:ascii="Arial" w:eastAsia="Arial" w:hAnsi="Arial" w:cs="Arial"/>
          <w:sz w:val="24"/>
          <w:szCs w:val="24"/>
          <w:u w:val="single"/>
        </w:rPr>
        <w:t>physi</w:t>
      </w:r>
      <w:r w:rsidRPr="4C7F927D">
        <w:rPr>
          <w:rFonts w:ascii="Arial" w:eastAsia="Arial" w:hAnsi="Arial" w:cs="Arial"/>
          <w:sz w:val="24"/>
          <w:szCs w:val="24"/>
        </w:rPr>
        <w:t>mited</w:t>
      </w:r>
      <w:proofErr w:type="spellEnd"/>
      <w:r w:rsidRPr="4C7F927D">
        <w:rPr>
          <w:rFonts w:ascii="Arial" w:eastAsia="Arial" w:hAnsi="Arial" w:cs="Arial"/>
          <w:sz w:val="24"/>
          <w:szCs w:val="24"/>
        </w:rPr>
        <w:t xml:space="preserve"> nausea/vomiting; transient flushing/warmth/chills; headache/dizziness/anxiety/altered </w:t>
      </w:r>
      <w:proofErr w:type="spellStart"/>
      <w:r w:rsidRPr="4C7F927D">
        <w:rPr>
          <w:rFonts w:ascii="Arial" w:eastAsia="Arial" w:hAnsi="Arial" w:cs="Arial"/>
          <w:sz w:val="24"/>
          <w:szCs w:val="24"/>
        </w:rPr>
        <w:t>tas</w:t>
      </w:r>
      <w:proofErr w:type="spellEnd"/>
      <w:r w:rsidRPr="4C7F927D">
        <w:rPr>
          <w:rFonts w:ascii="Arial" w:eastAsia="Arial" w:hAnsi="Arial" w:cs="Arial"/>
          <w:sz w:val="24"/>
          <w:szCs w:val="24"/>
          <w:u w:val="single"/>
        </w:rPr>
        <w:t xml:space="preserve"> </w:t>
      </w:r>
      <w:proofErr w:type="spellStart"/>
      <w:r w:rsidRPr="4C7F927D">
        <w:rPr>
          <w:rFonts w:ascii="Arial" w:eastAsia="Arial" w:hAnsi="Arial" w:cs="Arial"/>
          <w:sz w:val="24"/>
          <w:szCs w:val="24"/>
          <w:u w:val="single"/>
        </w:rPr>
        <w:t>ologic</w:t>
      </w:r>
      <w:proofErr w:type="spellEnd"/>
      <w:r w:rsidRPr="4C7F927D">
        <w:rPr>
          <w:rFonts w:ascii="Arial" w:eastAsia="Arial" w:hAnsi="Arial" w:cs="Arial"/>
          <w:sz w:val="24"/>
          <w:szCs w:val="24"/>
          <w:u w:val="single"/>
        </w:rPr>
        <w:t xml:space="preserve"> reactions</w:t>
      </w:r>
      <w:r w:rsidRPr="4C7F927D">
        <w:rPr>
          <w:rFonts w:ascii="Arial" w:eastAsia="Arial" w:hAnsi="Arial" w:cs="Arial"/>
          <w:sz w:val="24"/>
          <w:szCs w:val="24"/>
        </w:rPr>
        <w:t>: li</w:t>
      </w:r>
      <w:r w:rsidR="4C7F927D" w:rsidRPr="4C7F927D">
        <w:rPr>
          <w:rFonts w:ascii="Arial" w:eastAsia="Arial" w:hAnsi="Arial" w:cs="Arial"/>
          <w:sz w:val="24"/>
          <w:szCs w:val="24"/>
        </w:rPr>
        <w:t xml:space="preserve"> </w:t>
      </w:r>
      <w:proofErr w:type="spellStart"/>
      <w:r w:rsidRPr="4C7F927D">
        <w:rPr>
          <w:rFonts w:ascii="Arial" w:eastAsia="Arial" w:hAnsi="Arial" w:cs="Arial"/>
          <w:sz w:val="24"/>
          <w:szCs w:val="24"/>
        </w:rPr>
        <w:t>te</w:t>
      </w:r>
      <w:proofErr w:type="spellEnd"/>
      <w:r w:rsidRPr="4C7F927D">
        <w:rPr>
          <w:rFonts w:ascii="Arial" w:eastAsia="Arial" w:hAnsi="Arial" w:cs="Arial"/>
          <w:sz w:val="24"/>
          <w:szCs w:val="24"/>
        </w:rPr>
        <w:t>/ mild hypertension; vasovagal reaction that resolves spontaneously.</w:t>
      </w:r>
    </w:p>
    <w:p w14:paraId="0F809D02" w14:textId="0EC9FAD4" w:rsidR="6793225E" w:rsidRDefault="6793225E" w:rsidP="6793225E">
      <w:r w:rsidRPr="6793225E">
        <w:rPr>
          <w:rFonts w:ascii="Arial" w:eastAsia="Arial" w:hAnsi="Arial" w:cs="Arial"/>
          <w:sz w:val="24"/>
          <w:szCs w:val="24"/>
          <w:u w:val="single"/>
        </w:rPr>
        <w:t>Moderate physiologic reactions</w:t>
      </w:r>
      <w:r w:rsidRPr="6793225E">
        <w:rPr>
          <w:rFonts w:ascii="Arial" w:eastAsia="Arial" w:hAnsi="Arial" w:cs="Arial"/>
          <w:sz w:val="24"/>
          <w:szCs w:val="24"/>
        </w:rPr>
        <w:t>: protracted nausea/vomiting; hypertensive urgency; limited chest pain; vasovagal reaction that requires and is responsive to treatment.</w:t>
      </w:r>
    </w:p>
    <w:p w14:paraId="58EEAABD" w14:textId="39E695D0" w:rsidR="6793225E" w:rsidRDefault="6793225E" w:rsidP="6793225E">
      <w:r w:rsidRPr="6793225E">
        <w:rPr>
          <w:rFonts w:ascii="Arial" w:eastAsia="Arial" w:hAnsi="Arial" w:cs="Arial"/>
          <w:sz w:val="24"/>
          <w:szCs w:val="24"/>
          <w:u w:val="single"/>
        </w:rPr>
        <w:t>Severe physiologic reactions</w:t>
      </w:r>
      <w:r w:rsidRPr="6793225E">
        <w:rPr>
          <w:rFonts w:ascii="Arial" w:eastAsia="Arial" w:hAnsi="Arial" w:cs="Arial"/>
          <w:sz w:val="24"/>
          <w:szCs w:val="24"/>
        </w:rPr>
        <w:t>: arrhythmia; convulsions/seizures; hypertensive emergency; vasovagal reaction resistant to treatment.</w:t>
      </w:r>
    </w:p>
    <w:p w14:paraId="09ECBC23" w14:textId="3EADB7CF" w:rsidR="6793225E" w:rsidRDefault="6793225E" w:rsidP="6793225E">
      <w:r w:rsidRPr="6793225E">
        <w:rPr>
          <w:rFonts w:ascii="Arial" w:eastAsia="Arial" w:hAnsi="Arial" w:cs="Arial"/>
          <w:b/>
          <w:bCs/>
          <w:sz w:val="24"/>
          <w:szCs w:val="24"/>
        </w:rPr>
        <w:t>History of severe physiologic reaction warrants discussion of risks vs. benefits of the examination by a radiologist with the ordering provider prior to approval.</w:t>
      </w:r>
    </w:p>
    <w:p w14:paraId="70097B5C" w14:textId="37AD2568" w:rsidR="6793225E" w:rsidRDefault="6793225E" w:rsidP="6793225E">
      <w:r w:rsidRPr="6793225E">
        <w:rPr>
          <w:rFonts w:ascii="Arial" w:eastAsia="Arial" w:hAnsi="Arial" w:cs="Arial"/>
          <w:sz w:val="24"/>
          <w:szCs w:val="24"/>
        </w:rPr>
        <w:t xml:space="preserve"> </w:t>
      </w:r>
    </w:p>
    <w:p w14:paraId="57BC7AB5" w14:textId="3807ED6D" w:rsidR="6793225E" w:rsidRDefault="6793225E" w:rsidP="6793225E">
      <w:r w:rsidRPr="6793225E">
        <w:rPr>
          <w:rFonts w:ascii="Arial" w:eastAsia="Arial" w:hAnsi="Arial" w:cs="Arial"/>
          <w:sz w:val="24"/>
          <w:szCs w:val="24"/>
        </w:rPr>
        <w:t xml:space="preserve"> </w:t>
      </w:r>
    </w:p>
    <w:p w14:paraId="3C5C6385" w14:textId="2DB5EF19" w:rsidR="6793225E" w:rsidRDefault="2D783027" w:rsidP="6793225E">
      <w:r w:rsidRPr="05F0AA08">
        <w:rPr>
          <w:rFonts w:ascii="Arial" w:eastAsia="Arial" w:hAnsi="Arial" w:cs="Arial"/>
          <w:sz w:val="24"/>
          <w:szCs w:val="24"/>
        </w:rPr>
        <w:t xml:space="preserve"> </w:t>
      </w:r>
    </w:p>
    <w:p w14:paraId="3F041AEB" w14:textId="7C00A344" w:rsidR="6793225E" w:rsidRDefault="6793225E" w:rsidP="05F0AA08">
      <w:pPr>
        <w:rPr>
          <w:rFonts w:ascii="Arial" w:eastAsia="Arial" w:hAnsi="Arial" w:cs="Arial"/>
          <w:b/>
          <w:bCs/>
          <w:sz w:val="32"/>
          <w:szCs w:val="32"/>
          <w:u w:val="single"/>
        </w:rPr>
      </w:pPr>
    </w:p>
    <w:p w14:paraId="64E9E744" w14:textId="1AC5F30E" w:rsidR="6793225E" w:rsidRDefault="6793225E" w:rsidP="05F0AA08">
      <w:pPr>
        <w:rPr>
          <w:rFonts w:ascii="Arial" w:eastAsia="Arial" w:hAnsi="Arial" w:cs="Arial"/>
          <w:b/>
          <w:bCs/>
          <w:sz w:val="32"/>
          <w:szCs w:val="32"/>
          <w:u w:val="single"/>
        </w:rPr>
      </w:pPr>
    </w:p>
    <w:p w14:paraId="16FBFC98" w14:textId="1BBEF802" w:rsidR="6793225E" w:rsidRDefault="6793225E" w:rsidP="05F0AA08">
      <w:pPr>
        <w:rPr>
          <w:rFonts w:ascii="Arial" w:eastAsia="Arial" w:hAnsi="Arial" w:cs="Arial"/>
          <w:b/>
          <w:bCs/>
          <w:sz w:val="32"/>
          <w:szCs w:val="32"/>
          <w:u w:val="single"/>
        </w:rPr>
      </w:pPr>
    </w:p>
    <w:p w14:paraId="23341466" w14:textId="1DA36F69" w:rsidR="6793225E" w:rsidRDefault="6793225E" w:rsidP="6793225E">
      <w:r w:rsidRPr="05F0AA08">
        <w:rPr>
          <w:rFonts w:ascii="Arial" w:eastAsia="Arial" w:hAnsi="Arial" w:cs="Arial"/>
          <w:b/>
          <w:bCs/>
          <w:sz w:val="32"/>
          <w:szCs w:val="32"/>
          <w:u w:val="single"/>
        </w:rPr>
        <w:t>PREMEDICATION REGIMENS</w:t>
      </w:r>
    </w:p>
    <w:p w14:paraId="1E4EE919" w14:textId="76BC59DD" w:rsidR="6793225E" w:rsidRDefault="6793225E" w:rsidP="6793225E">
      <w:r w:rsidRPr="6793225E">
        <w:rPr>
          <w:rFonts w:ascii="Arial" w:eastAsia="Arial" w:hAnsi="Arial" w:cs="Arial"/>
          <w:sz w:val="22"/>
          <w:szCs w:val="22"/>
        </w:rPr>
        <w:t>(Per ACR guidelines, ACR Manual on Contrast Media v. 10.2, 2016)</w:t>
      </w:r>
    </w:p>
    <w:p w14:paraId="1A8F02B4" w14:textId="205A961A" w:rsidR="6793225E" w:rsidRDefault="6793225E" w:rsidP="05F0AA08">
      <w:pPr>
        <w:rPr>
          <w:rFonts w:ascii="Arial" w:eastAsia="Arial" w:hAnsi="Arial" w:cs="Arial"/>
          <w:b/>
          <w:bCs/>
          <w:sz w:val="32"/>
          <w:szCs w:val="32"/>
          <w:u w:val="single"/>
        </w:rPr>
      </w:pPr>
    </w:p>
    <w:p w14:paraId="3B55722B" w14:textId="3FA72E26" w:rsidR="6793225E" w:rsidRDefault="6793225E" w:rsidP="6793225E">
      <w:r w:rsidRPr="6793225E">
        <w:rPr>
          <w:rFonts w:ascii="Arial" w:eastAsia="Arial" w:hAnsi="Arial" w:cs="Arial"/>
          <w:b/>
          <w:bCs/>
          <w:sz w:val="28"/>
          <w:szCs w:val="28"/>
          <w:u w:val="single"/>
        </w:rPr>
        <w:t xml:space="preserve">ROUTINE PREMEDICATION </w:t>
      </w:r>
    </w:p>
    <w:p w14:paraId="3A4D11B8" w14:textId="2CD98F23" w:rsidR="6793225E" w:rsidRDefault="6793225E" w:rsidP="6793225E">
      <w:r w:rsidRPr="05F0AA08">
        <w:rPr>
          <w:rFonts w:ascii="Arial" w:eastAsia="Arial" w:hAnsi="Arial" w:cs="Arial"/>
          <w:b/>
          <w:bCs/>
          <w:sz w:val="24"/>
          <w:szCs w:val="24"/>
        </w:rPr>
        <w:t xml:space="preserve">Two frequently used, equivalent regimens**:  </w:t>
      </w:r>
    </w:p>
    <w:p w14:paraId="24A70FF6" w14:textId="2931AC5B" w:rsidR="6793225E" w:rsidRDefault="6793225E" w:rsidP="6793225E">
      <w:pPr>
        <w:pStyle w:val="ListParagraph"/>
        <w:numPr>
          <w:ilvl w:val="0"/>
          <w:numId w:val="3"/>
        </w:numPr>
        <w:rPr>
          <w:b/>
          <w:bCs/>
          <w:sz w:val="22"/>
          <w:szCs w:val="22"/>
        </w:rPr>
      </w:pPr>
      <w:r w:rsidRPr="5E8E54D9">
        <w:rPr>
          <w:rFonts w:ascii="Arial" w:eastAsia="Arial" w:hAnsi="Arial" w:cs="Arial"/>
          <w:b/>
          <w:bCs/>
          <w:sz w:val="22"/>
          <w:szCs w:val="22"/>
        </w:rPr>
        <w:t>Prednisone</w:t>
      </w:r>
      <w:r w:rsidRPr="5E8E54D9">
        <w:rPr>
          <w:rFonts w:ascii="Arial" w:eastAsia="Arial" w:hAnsi="Arial" w:cs="Arial"/>
          <w:sz w:val="22"/>
          <w:szCs w:val="22"/>
        </w:rPr>
        <w:t xml:space="preserve"> – 50 mg by mouth at 13 hours, 7 hours, and 1 hour before contrast media injection.</w:t>
      </w:r>
    </w:p>
    <w:p w14:paraId="50E185CA" w14:textId="2008F360" w:rsidR="6793225E" w:rsidRDefault="6793225E" w:rsidP="6793225E">
      <w:pPr>
        <w:pStyle w:val="ListParagraph"/>
        <w:numPr>
          <w:ilvl w:val="0"/>
          <w:numId w:val="3"/>
        </w:numPr>
        <w:rPr>
          <w:b/>
          <w:bCs/>
          <w:sz w:val="22"/>
          <w:szCs w:val="22"/>
        </w:rPr>
      </w:pPr>
      <w:r w:rsidRPr="5E8E54D9">
        <w:rPr>
          <w:rFonts w:ascii="Arial" w:eastAsia="Arial" w:hAnsi="Arial" w:cs="Arial"/>
          <w:b/>
          <w:bCs/>
          <w:sz w:val="22"/>
          <w:szCs w:val="22"/>
        </w:rPr>
        <w:t>Benadryl</w:t>
      </w:r>
      <w:r w:rsidRPr="5E8E54D9">
        <w:rPr>
          <w:rFonts w:ascii="Arial" w:eastAsia="Arial" w:hAnsi="Arial" w:cs="Arial"/>
          <w:sz w:val="22"/>
          <w:szCs w:val="22"/>
        </w:rPr>
        <w:t xml:space="preserve"> – 50 mg intravenously, intramuscularly, or by mouth 1 hour before contrast medium. </w:t>
      </w:r>
    </w:p>
    <w:p w14:paraId="138CB9DC" w14:textId="40301920" w:rsidR="6793225E" w:rsidRDefault="6793225E" w:rsidP="6793225E">
      <w:r w:rsidRPr="6793225E">
        <w:rPr>
          <w:rFonts w:ascii="Arial" w:eastAsia="Arial" w:hAnsi="Arial" w:cs="Arial"/>
          <w:sz w:val="22"/>
          <w:szCs w:val="22"/>
        </w:rPr>
        <w:t>or</w:t>
      </w:r>
    </w:p>
    <w:p w14:paraId="58ECE81B" w14:textId="3C5BC792" w:rsidR="6793225E" w:rsidRDefault="6793225E" w:rsidP="5E8E54D9">
      <w:pPr>
        <w:pStyle w:val="ListParagraph"/>
        <w:numPr>
          <w:ilvl w:val="0"/>
          <w:numId w:val="1"/>
        </w:numPr>
        <w:rPr>
          <w:rFonts w:ascii="Arial" w:eastAsia="Arial" w:hAnsi="Arial" w:cs="Arial"/>
          <w:sz w:val="22"/>
          <w:szCs w:val="22"/>
        </w:rPr>
      </w:pPr>
      <w:r w:rsidRPr="5E8E54D9">
        <w:rPr>
          <w:rFonts w:ascii="Arial" w:eastAsia="Arial" w:hAnsi="Arial" w:cs="Arial"/>
          <w:b/>
          <w:bCs/>
          <w:sz w:val="22"/>
          <w:szCs w:val="22"/>
        </w:rPr>
        <w:t>Methylprednisolone</w:t>
      </w:r>
      <w:r w:rsidRPr="5E8E54D9">
        <w:rPr>
          <w:rFonts w:ascii="Arial" w:eastAsia="Arial" w:hAnsi="Arial" w:cs="Arial"/>
          <w:sz w:val="22"/>
          <w:szCs w:val="22"/>
        </w:rPr>
        <w:t xml:space="preserve"> (Medrol®) – 32 mg by mouth 12 hours and 2 hours before contrast media injection.</w:t>
      </w:r>
    </w:p>
    <w:p w14:paraId="0F99AF73" w14:textId="2DB71D02" w:rsidR="6793225E" w:rsidRDefault="6793225E" w:rsidP="5E8E54D9">
      <w:pPr>
        <w:pStyle w:val="ListParagraph"/>
        <w:numPr>
          <w:ilvl w:val="0"/>
          <w:numId w:val="1"/>
        </w:numPr>
        <w:rPr>
          <w:rFonts w:ascii="Arial" w:eastAsia="Arial" w:hAnsi="Arial" w:cs="Arial"/>
          <w:sz w:val="22"/>
          <w:szCs w:val="22"/>
        </w:rPr>
      </w:pPr>
      <w:r w:rsidRPr="5E8E54D9">
        <w:rPr>
          <w:rFonts w:ascii="Arial" w:eastAsia="Arial" w:hAnsi="Arial" w:cs="Arial"/>
          <w:b/>
          <w:bCs/>
          <w:sz w:val="22"/>
          <w:szCs w:val="22"/>
        </w:rPr>
        <w:t>Benadryl</w:t>
      </w:r>
      <w:r w:rsidRPr="5E8E54D9">
        <w:rPr>
          <w:rFonts w:ascii="Arial" w:eastAsia="Arial" w:hAnsi="Arial" w:cs="Arial"/>
          <w:sz w:val="22"/>
          <w:szCs w:val="22"/>
        </w:rPr>
        <w:t xml:space="preserve"> – 50 mg intravenously, intramuscularly, or by mouth 1 hour before contrast medium. </w:t>
      </w:r>
    </w:p>
    <w:p w14:paraId="57DDBFFB" w14:textId="2ED69847" w:rsidR="6793225E" w:rsidRDefault="6793225E" w:rsidP="5E8E54D9">
      <w:pPr>
        <w:ind w:firstLine="720"/>
      </w:pPr>
      <w:r w:rsidRPr="5E8E54D9">
        <w:rPr>
          <w:rFonts w:ascii="Arial" w:eastAsia="Arial" w:hAnsi="Arial" w:cs="Arial"/>
          <w:sz w:val="24"/>
          <w:szCs w:val="24"/>
        </w:rPr>
        <w:t>(If the patient is unable to take oral medication, 200 mg of hydrocortisone IV may be</w:t>
      </w:r>
    </w:p>
    <w:p w14:paraId="22C151D7" w14:textId="48BE6533" w:rsidR="6793225E" w:rsidRDefault="6793225E" w:rsidP="05F0AA08">
      <w:pPr>
        <w:ind w:firstLine="720"/>
      </w:pPr>
      <w:r w:rsidRPr="05F0AA08">
        <w:rPr>
          <w:rFonts w:ascii="Arial" w:eastAsia="Arial" w:hAnsi="Arial" w:cs="Arial"/>
          <w:sz w:val="24"/>
          <w:szCs w:val="24"/>
        </w:rPr>
        <w:t>substituted for oral prednisone.)</w:t>
      </w:r>
    </w:p>
    <w:p w14:paraId="1CBB852C" w14:textId="741F815B" w:rsidR="6793225E" w:rsidRDefault="6793225E" w:rsidP="6793225E">
      <w:r w:rsidRPr="6793225E">
        <w:rPr>
          <w:rFonts w:ascii="Arial" w:eastAsia="Arial" w:hAnsi="Arial" w:cs="Arial"/>
          <w:b/>
          <w:bCs/>
          <w:sz w:val="22"/>
          <w:szCs w:val="22"/>
        </w:rPr>
        <w:t xml:space="preserve"> </w:t>
      </w:r>
    </w:p>
    <w:p w14:paraId="4396650C" w14:textId="5E03C037" w:rsidR="6793225E" w:rsidRDefault="6793225E" w:rsidP="6793225E">
      <w:r w:rsidRPr="6793225E">
        <w:rPr>
          <w:rFonts w:ascii="Arial" w:eastAsia="Arial" w:hAnsi="Arial" w:cs="Arial"/>
          <w:b/>
          <w:bCs/>
          <w:sz w:val="28"/>
          <w:szCs w:val="28"/>
          <w:u w:val="single"/>
        </w:rPr>
        <w:t xml:space="preserve">EMERGENT PREMEDICATION </w:t>
      </w:r>
    </w:p>
    <w:p w14:paraId="5C74AE9F" w14:textId="7433D5C7" w:rsidR="6793225E" w:rsidRDefault="6793225E" w:rsidP="6793225E">
      <w:r w:rsidRPr="6793225E">
        <w:rPr>
          <w:rFonts w:ascii="Arial" w:eastAsia="Arial" w:hAnsi="Arial" w:cs="Arial"/>
          <w:b/>
          <w:bCs/>
          <w:sz w:val="24"/>
          <w:szCs w:val="24"/>
        </w:rPr>
        <w:t>Discuss risks and alternatives (i.e., non-contrast study) with referring provider and patient.</w:t>
      </w:r>
    </w:p>
    <w:p w14:paraId="3F478607" w14:textId="0C890A26" w:rsidR="6793225E" w:rsidRDefault="6793225E" w:rsidP="6793225E">
      <w:r w:rsidRPr="2E08799A">
        <w:rPr>
          <w:rFonts w:ascii="Arial" w:eastAsia="Arial" w:hAnsi="Arial" w:cs="Arial"/>
          <w:b/>
          <w:bCs/>
          <w:sz w:val="22"/>
          <w:szCs w:val="22"/>
        </w:rPr>
        <w:t xml:space="preserve">Note: </w:t>
      </w:r>
      <w:r w:rsidRPr="2E08799A">
        <w:rPr>
          <w:rFonts w:ascii="Arial" w:eastAsia="Arial" w:hAnsi="Arial" w:cs="Arial"/>
          <w:sz w:val="22"/>
          <w:szCs w:val="22"/>
        </w:rPr>
        <w:t>IV steroids have not been shown to be effective when administered less than 4 to 6 hours prior to contrast injection.</w:t>
      </w:r>
    </w:p>
    <w:p w14:paraId="0C305EBA" w14:textId="71477C7A" w:rsidR="6793225E" w:rsidRDefault="6793225E" w:rsidP="04F2BDCC">
      <w:pPr>
        <w:rPr>
          <w:rFonts w:ascii="Arial" w:eastAsia="Arial" w:hAnsi="Arial" w:cs="Arial"/>
          <w:sz w:val="22"/>
          <w:szCs w:val="22"/>
        </w:rPr>
      </w:pPr>
      <w:r w:rsidRPr="5441DE8D">
        <w:rPr>
          <w:rFonts w:ascii="Arial" w:eastAsia="Arial" w:hAnsi="Arial" w:cs="Arial"/>
          <w:sz w:val="22"/>
          <w:szCs w:val="22"/>
        </w:rPr>
        <w:t>Rapid preps have not</w:t>
      </w:r>
      <w:r w:rsidR="309B91D8" w:rsidRPr="5441DE8D">
        <w:rPr>
          <w:rFonts w:ascii="Arial" w:eastAsia="Arial" w:hAnsi="Arial" w:cs="Arial"/>
          <w:sz w:val="22"/>
          <w:szCs w:val="22"/>
        </w:rPr>
        <w:t xml:space="preserve"> been shown to definitively decrease the chances of a serious contrast reaction, but nonetheless are advisable for any patient with a prior allergic like reaction to c</w:t>
      </w:r>
      <w:r w:rsidR="440D0A99" w:rsidRPr="5441DE8D">
        <w:rPr>
          <w:rFonts w:ascii="Arial" w:eastAsia="Arial" w:hAnsi="Arial" w:cs="Arial"/>
          <w:sz w:val="22"/>
          <w:szCs w:val="22"/>
        </w:rPr>
        <w:t>ontrast and a medical need for more emergent imaging.</w:t>
      </w:r>
    </w:p>
    <w:p w14:paraId="01248961" w14:textId="13DC24CA" w:rsidR="6793225E" w:rsidRDefault="6793225E" w:rsidP="6793225E">
      <w:r w:rsidRPr="6793225E">
        <w:rPr>
          <w:rFonts w:ascii="Arial" w:eastAsia="Arial" w:hAnsi="Arial" w:cs="Arial"/>
          <w:sz w:val="22"/>
          <w:szCs w:val="22"/>
        </w:rPr>
        <w:t xml:space="preserve">Acceptability of an emergent pre-medication is the discretion of the attending radiologist, in conjunction with the ordering provider pending discussion of risk-benefit analysis including specifics of the prior contrast reaction and the current clinical status of the </w:t>
      </w:r>
      <w:proofErr w:type="gramStart"/>
      <w:r w:rsidRPr="6793225E">
        <w:rPr>
          <w:rFonts w:ascii="Arial" w:eastAsia="Arial" w:hAnsi="Arial" w:cs="Arial"/>
          <w:sz w:val="22"/>
          <w:szCs w:val="22"/>
        </w:rPr>
        <w:t>patient</w:t>
      </w:r>
      <w:proofErr w:type="gramEnd"/>
    </w:p>
    <w:p w14:paraId="53A19797" w14:textId="4812599C" w:rsidR="6793225E" w:rsidRDefault="6793225E" w:rsidP="6793225E">
      <w:r w:rsidRPr="6793225E">
        <w:rPr>
          <w:rFonts w:ascii="Arial" w:eastAsia="Arial" w:hAnsi="Arial" w:cs="Arial"/>
          <w:color w:val="FF0000"/>
          <w:sz w:val="22"/>
          <w:szCs w:val="22"/>
        </w:rPr>
        <w:t xml:space="preserve"> </w:t>
      </w:r>
    </w:p>
    <w:p w14:paraId="3D6386FD" w14:textId="7CE71DB9" w:rsidR="6793225E" w:rsidRDefault="6793225E" w:rsidP="6793225E">
      <w:r w:rsidRPr="05F0AA08">
        <w:rPr>
          <w:rFonts w:ascii="Arial" w:eastAsia="Arial" w:hAnsi="Arial" w:cs="Arial"/>
          <w:b/>
          <w:bCs/>
          <w:sz w:val="24"/>
          <w:szCs w:val="24"/>
        </w:rPr>
        <w:t>T</w:t>
      </w:r>
      <w:r w:rsidR="09DAB478" w:rsidRPr="05F0AA08">
        <w:rPr>
          <w:rFonts w:ascii="Arial" w:eastAsia="Arial" w:hAnsi="Arial" w:cs="Arial"/>
          <w:b/>
          <w:bCs/>
          <w:sz w:val="24"/>
          <w:szCs w:val="24"/>
        </w:rPr>
        <w:t xml:space="preserve">wo </w:t>
      </w:r>
      <w:r w:rsidRPr="05F0AA08">
        <w:rPr>
          <w:rFonts w:ascii="Arial" w:eastAsia="Arial" w:hAnsi="Arial" w:cs="Arial"/>
          <w:b/>
          <w:bCs/>
          <w:sz w:val="24"/>
          <w:szCs w:val="24"/>
        </w:rPr>
        <w:t>regimens, in decreasing order of desirability**:</w:t>
      </w:r>
    </w:p>
    <w:p w14:paraId="0B2C75C5" w14:textId="12AFB0B8" w:rsidR="6793225E" w:rsidRDefault="6793225E" w:rsidP="6793225E">
      <w:pPr>
        <w:pStyle w:val="ListParagraph"/>
        <w:numPr>
          <w:ilvl w:val="1"/>
          <w:numId w:val="2"/>
        </w:numPr>
        <w:rPr>
          <w:b/>
          <w:bCs/>
          <w:sz w:val="22"/>
          <w:szCs w:val="22"/>
        </w:rPr>
      </w:pPr>
      <w:r w:rsidRPr="6793225E">
        <w:rPr>
          <w:rFonts w:ascii="Arial" w:eastAsia="Arial" w:hAnsi="Arial" w:cs="Arial"/>
          <w:b/>
          <w:bCs/>
          <w:sz w:val="22"/>
          <w:szCs w:val="22"/>
        </w:rPr>
        <w:t>Methylprednisolone sodium succinate</w:t>
      </w:r>
      <w:r w:rsidRPr="6793225E">
        <w:rPr>
          <w:rFonts w:ascii="Arial" w:eastAsia="Arial" w:hAnsi="Arial" w:cs="Arial"/>
          <w:sz w:val="22"/>
          <w:szCs w:val="22"/>
        </w:rPr>
        <w:t xml:space="preserve"> (Solu-Medrol®) 40 mg or hydrocortisone sodium succinate (Solu-</w:t>
      </w:r>
      <w:proofErr w:type="spellStart"/>
      <w:r w:rsidRPr="6793225E">
        <w:rPr>
          <w:rFonts w:ascii="Arial" w:eastAsia="Arial" w:hAnsi="Arial" w:cs="Arial"/>
          <w:sz w:val="22"/>
          <w:szCs w:val="22"/>
        </w:rPr>
        <w:t>Cortef</w:t>
      </w:r>
      <w:proofErr w:type="spellEnd"/>
      <w:r w:rsidRPr="6793225E">
        <w:rPr>
          <w:rFonts w:ascii="Arial" w:eastAsia="Arial" w:hAnsi="Arial" w:cs="Arial"/>
          <w:sz w:val="22"/>
          <w:szCs w:val="22"/>
        </w:rPr>
        <w:t>®) 200 mg intravenously every 4 hours (q4h) until contrast study required.</w:t>
      </w:r>
    </w:p>
    <w:p w14:paraId="1FD20DA5" w14:textId="692977E8" w:rsidR="6793225E" w:rsidRDefault="6793225E" w:rsidP="4C7F927D">
      <w:pPr>
        <w:ind w:left="720" w:firstLine="720"/>
      </w:pPr>
      <w:r w:rsidRPr="4C7F927D">
        <w:rPr>
          <w:rFonts w:ascii="Arial" w:eastAsia="Arial" w:hAnsi="Arial" w:cs="Arial"/>
          <w:b/>
          <w:bCs/>
          <w:sz w:val="22"/>
          <w:szCs w:val="22"/>
        </w:rPr>
        <w:t>Benadryl</w:t>
      </w:r>
      <w:r w:rsidRPr="4C7F927D">
        <w:rPr>
          <w:rFonts w:ascii="Arial" w:eastAsia="Arial" w:hAnsi="Arial" w:cs="Arial"/>
          <w:sz w:val="22"/>
          <w:szCs w:val="22"/>
        </w:rPr>
        <w:t xml:space="preserve"> - 50 mg IV 1 hour prior to contrast injection.</w:t>
      </w:r>
    </w:p>
    <w:p w14:paraId="3853A0E5" w14:textId="0BD30255" w:rsidR="6793225E" w:rsidRDefault="6793225E" w:rsidP="6793225E">
      <w:r w:rsidRPr="6793225E">
        <w:rPr>
          <w:rFonts w:ascii="Arial" w:eastAsia="Arial" w:hAnsi="Arial" w:cs="Arial"/>
          <w:sz w:val="22"/>
          <w:szCs w:val="22"/>
        </w:rPr>
        <w:t>or</w:t>
      </w:r>
    </w:p>
    <w:p w14:paraId="253BB482" w14:textId="6E06ADFF" w:rsidR="6793225E" w:rsidRDefault="6793225E" w:rsidP="6793225E">
      <w:pPr>
        <w:pStyle w:val="ListParagraph"/>
        <w:numPr>
          <w:ilvl w:val="1"/>
          <w:numId w:val="2"/>
        </w:numPr>
        <w:rPr>
          <w:b/>
          <w:bCs/>
          <w:sz w:val="22"/>
          <w:szCs w:val="22"/>
        </w:rPr>
      </w:pPr>
      <w:r w:rsidRPr="6793225E">
        <w:rPr>
          <w:rFonts w:ascii="Arial" w:eastAsia="Arial" w:hAnsi="Arial" w:cs="Arial"/>
          <w:b/>
          <w:bCs/>
          <w:sz w:val="22"/>
          <w:szCs w:val="22"/>
        </w:rPr>
        <w:t>Dexamethasone sodium sulfate</w:t>
      </w:r>
      <w:r w:rsidRPr="6793225E">
        <w:rPr>
          <w:rFonts w:ascii="Arial" w:eastAsia="Arial" w:hAnsi="Arial" w:cs="Arial"/>
          <w:sz w:val="22"/>
          <w:szCs w:val="22"/>
        </w:rPr>
        <w:t xml:space="preserve"> (Decadron®) 7.5 mg or betamethasone 6.0 mg intravenously q4h until contrast study required (in patent with known allergy to methylprednisolone, aspirin, or non-steroidal anti-inflammatory drugs, especially if asthmatic) </w:t>
      </w:r>
    </w:p>
    <w:p w14:paraId="44EB6B82" w14:textId="5F7D477E" w:rsidR="6793225E" w:rsidRDefault="6793225E" w:rsidP="4C7F927D">
      <w:pPr>
        <w:ind w:left="720" w:firstLine="720"/>
      </w:pPr>
      <w:r w:rsidRPr="4C7F927D">
        <w:rPr>
          <w:rFonts w:ascii="Arial" w:eastAsia="Arial" w:hAnsi="Arial" w:cs="Arial"/>
          <w:b/>
          <w:bCs/>
          <w:sz w:val="22"/>
          <w:szCs w:val="22"/>
        </w:rPr>
        <w:t>Benadryl</w:t>
      </w:r>
      <w:r w:rsidRPr="4C7F927D">
        <w:rPr>
          <w:rFonts w:ascii="Arial" w:eastAsia="Arial" w:hAnsi="Arial" w:cs="Arial"/>
          <w:sz w:val="22"/>
          <w:szCs w:val="22"/>
        </w:rPr>
        <w:t xml:space="preserve"> - 50 mg IV 1 hour prior to contrast injection.</w:t>
      </w:r>
    </w:p>
    <w:p w14:paraId="7E800533" w14:textId="341A4559" w:rsidR="4C7F927D" w:rsidRDefault="4C7F927D" w:rsidP="4C7F927D">
      <w:pPr>
        <w:rPr>
          <w:rFonts w:ascii="Arial" w:eastAsia="Arial" w:hAnsi="Arial" w:cs="Arial"/>
          <w:sz w:val="22"/>
          <w:szCs w:val="22"/>
        </w:rPr>
      </w:pPr>
    </w:p>
    <w:p w14:paraId="777DCBF5" w14:textId="06271CDE" w:rsidR="6793225E" w:rsidRDefault="6793225E" w:rsidP="6793225E">
      <w:r w:rsidRPr="6793225E">
        <w:rPr>
          <w:rFonts w:ascii="Arial" w:eastAsia="Arial" w:hAnsi="Arial" w:cs="Arial"/>
          <w:sz w:val="22"/>
          <w:szCs w:val="22"/>
        </w:rPr>
        <w:t xml:space="preserve">Allergy or other intolerance to Benadryl is extraordinarily rare and no guideline or standard of care exists. The risk-benefit analysis of the examination should be discussed by a radiologist with the referring provider. </w:t>
      </w:r>
    </w:p>
    <w:p w14:paraId="4DBC360A" w14:textId="42CC2C32" w:rsidR="6793225E" w:rsidRDefault="6793225E" w:rsidP="6793225E">
      <w:r w:rsidRPr="05F0AA08">
        <w:rPr>
          <w:rFonts w:ascii="Arial" w:eastAsia="Arial" w:hAnsi="Arial" w:cs="Arial"/>
          <w:sz w:val="22"/>
          <w:szCs w:val="22"/>
        </w:rPr>
        <w:t>No peer reviewed analyses of alternative antihistamines for this purpose are available, although Allegra 180 mg PO is listed by the ACR as an alternative treatment for mild and moderate hives in adults and has been used in prophylaxis.</w:t>
      </w:r>
      <w:r>
        <w:br/>
      </w:r>
      <w:r w:rsidRPr="05F0AA08">
        <w:rPr>
          <w:rFonts w:ascii="Arial" w:eastAsia="Arial" w:hAnsi="Arial" w:cs="Arial"/>
          <w:sz w:val="22"/>
          <w:szCs w:val="22"/>
        </w:rPr>
        <w:t xml:space="preserve"> </w:t>
      </w:r>
    </w:p>
    <w:p w14:paraId="4A53C53C" w14:textId="1D77170D" w:rsidR="6793225E" w:rsidRDefault="6793225E" w:rsidP="6793225E">
      <w:r w:rsidRPr="6793225E">
        <w:rPr>
          <w:rFonts w:ascii="Arial" w:eastAsia="Arial" w:hAnsi="Arial" w:cs="Arial"/>
          <w:b/>
          <w:bCs/>
          <w:sz w:val="28"/>
          <w:szCs w:val="28"/>
          <w:u w:val="single"/>
        </w:rPr>
        <w:t>PEDIATRIC PREMEDICATION</w:t>
      </w:r>
    </w:p>
    <w:p w14:paraId="4D6B9A1F" w14:textId="5B914ECB" w:rsidR="6793225E" w:rsidRDefault="6793225E" w:rsidP="6793225E">
      <w:r w:rsidRPr="6793225E">
        <w:rPr>
          <w:rFonts w:ascii="Arial" w:eastAsia="Arial" w:hAnsi="Arial" w:cs="Arial"/>
          <w:b/>
          <w:bCs/>
          <w:sz w:val="28"/>
          <w:szCs w:val="28"/>
        </w:rPr>
        <w:t xml:space="preserve">          </w:t>
      </w:r>
      <w:r w:rsidRPr="6793225E">
        <w:rPr>
          <w:rFonts w:ascii="Arial" w:eastAsia="Arial" w:hAnsi="Arial" w:cs="Arial"/>
          <w:b/>
          <w:bCs/>
          <w:sz w:val="22"/>
          <w:szCs w:val="22"/>
        </w:rPr>
        <w:t>Prednisone</w:t>
      </w:r>
      <w:r w:rsidRPr="6793225E">
        <w:rPr>
          <w:rFonts w:ascii="Arial" w:eastAsia="Arial" w:hAnsi="Arial" w:cs="Arial"/>
          <w:sz w:val="22"/>
          <w:szCs w:val="22"/>
        </w:rPr>
        <w:t xml:space="preserve"> 0.5-0.7mg/kg PO (up to 50mg) at 13, 7 and 1 hours prior to contrast.</w:t>
      </w:r>
    </w:p>
    <w:p w14:paraId="081E2BDD" w14:textId="1B555258" w:rsidR="6793225E" w:rsidRDefault="6793225E" w:rsidP="6793225E">
      <w:r w:rsidRPr="6793225E">
        <w:rPr>
          <w:rFonts w:ascii="Arial" w:eastAsia="Arial" w:hAnsi="Arial" w:cs="Arial"/>
          <w:sz w:val="22"/>
          <w:szCs w:val="22"/>
        </w:rPr>
        <w:t xml:space="preserve">            </w:t>
      </w:r>
      <w:r w:rsidRPr="6793225E">
        <w:rPr>
          <w:rFonts w:ascii="Arial" w:eastAsia="Arial" w:hAnsi="Arial" w:cs="Arial"/>
          <w:b/>
          <w:bCs/>
          <w:sz w:val="22"/>
          <w:szCs w:val="22"/>
        </w:rPr>
        <w:t>Benadryl</w:t>
      </w:r>
      <w:r w:rsidRPr="6793225E">
        <w:rPr>
          <w:rFonts w:ascii="Arial" w:eastAsia="Arial" w:hAnsi="Arial" w:cs="Arial"/>
          <w:sz w:val="22"/>
          <w:szCs w:val="22"/>
        </w:rPr>
        <w:t xml:space="preserve"> 1.25mg/kg PO (up to 50mg) at 1 hour prior to contrast</w:t>
      </w:r>
      <w:r w:rsidRPr="6793225E">
        <w:rPr>
          <w:rFonts w:ascii="Arial" w:eastAsia="Arial" w:hAnsi="Arial" w:cs="Arial"/>
          <w:sz w:val="24"/>
          <w:szCs w:val="24"/>
        </w:rPr>
        <w:t xml:space="preserve">. </w:t>
      </w:r>
    </w:p>
    <w:p w14:paraId="1100CDFD" w14:textId="470925AE" w:rsidR="6793225E" w:rsidRDefault="6793225E" w:rsidP="6793225E">
      <w:r w:rsidRPr="05F0AA08">
        <w:rPr>
          <w:rFonts w:ascii="Arial" w:eastAsia="Arial" w:hAnsi="Arial" w:cs="Arial"/>
          <w:sz w:val="24"/>
          <w:szCs w:val="24"/>
        </w:rPr>
        <w:t xml:space="preserve"> </w:t>
      </w:r>
    </w:p>
    <w:p w14:paraId="073AD59A" w14:textId="59463BAD" w:rsidR="6793225E" w:rsidRDefault="6793225E" w:rsidP="6793225E">
      <w:r w:rsidRPr="6793225E">
        <w:rPr>
          <w:rFonts w:ascii="Arial" w:eastAsia="Arial" w:hAnsi="Arial" w:cs="Arial"/>
          <w:sz w:val="22"/>
          <w:szCs w:val="22"/>
        </w:rPr>
        <w:t xml:space="preserve">**Alternative strategies for premedication with Benadryl and corticosteroid may be utilized, though the above regimens have the strongest evidence and/or </w:t>
      </w:r>
      <w:proofErr w:type="gramStart"/>
      <w:r w:rsidRPr="6793225E">
        <w:rPr>
          <w:rFonts w:ascii="Arial" w:eastAsia="Arial" w:hAnsi="Arial" w:cs="Arial"/>
          <w:sz w:val="22"/>
          <w:szCs w:val="22"/>
        </w:rPr>
        <w:t>guideline based</w:t>
      </w:r>
      <w:proofErr w:type="gramEnd"/>
      <w:r w:rsidRPr="6793225E">
        <w:rPr>
          <w:rFonts w:ascii="Arial" w:eastAsia="Arial" w:hAnsi="Arial" w:cs="Arial"/>
          <w:sz w:val="22"/>
          <w:szCs w:val="22"/>
        </w:rPr>
        <w:t xml:space="preserve"> support.</w:t>
      </w:r>
    </w:p>
    <w:p w14:paraId="796676A6" w14:textId="08896AF7" w:rsidR="05F0AA08" w:rsidRDefault="05F0AA08" w:rsidP="05F0AA08">
      <w:pPr>
        <w:rPr>
          <w:rFonts w:ascii="Arial" w:eastAsia="Arial" w:hAnsi="Arial" w:cs="Arial"/>
          <w:sz w:val="22"/>
          <w:szCs w:val="22"/>
        </w:rPr>
      </w:pPr>
    </w:p>
    <w:p w14:paraId="039972FC" w14:textId="30952E5F" w:rsidR="783F5FD1" w:rsidRDefault="783F5FD1" w:rsidP="05F0AA08">
      <w:pPr>
        <w:spacing w:line="259" w:lineRule="auto"/>
      </w:pPr>
      <w:r w:rsidRPr="05F0AA08">
        <w:rPr>
          <w:rFonts w:ascii="Arial" w:eastAsia="Arial" w:hAnsi="Arial" w:cs="Arial"/>
          <w:b/>
          <w:bCs/>
          <w:sz w:val="28"/>
          <w:szCs w:val="28"/>
          <w:u w:val="single"/>
        </w:rPr>
        <w:t>WINDOW FOR TIMING OF SCAN</w:t>
      </w:r>
    </w:p>
    <w:p w14:paraId="7369C866" w14:textId="494910EF" w:rsidR="783F5FD1" w:rsidRDefault="783F5FD1" w:rsidP="05F0AA08">
      <w:pPr>
        <w:spacing w:line="259" w:lineRule="auto"/>
        <w:rPr>
          <w:rFonts w:ascii="Arial" w:eastAsia="Arial" w:hAnsi="Arial" w:cs="Arial"/>
          <w:sz w:val="24"/>
          <w:szCs w:val="24"/>
        </w:rPr>
      </w:pPr>
      <w:r w:rsidRPr="05F0AA08">
        <w:rPr>
          <w:rFonts w:ascii="Arial" w:eastAsia="Arial" w:hAnsi="Arial" w:cs="Arial"/>
          <w:sz w:val="24"/>
          <w:szCs w:val="24"/>
        </w:rPr>
        <w:lastRenderedPageBreak/>
        <w:t xml:space="preserve">Due to real world constraints, it is typically not possible to scan a patient exactly one hour after their last dose of pretreatment medications.  </w:t>
      </w:r>
      <w:r w:rsidR="07C1AB95" w:rsidRPr="05F0AA08">
        <w:rPr>
          <w:rFonts w:ascii="Arial" w:eastAsia="Arial" w:hAnsi="Arial" w:cs="Arial"/>
          <w:sz w:val="24"/>
          <w:szCs w:val="24"/>
        </w:rPr>
        <w:t>Therefore, c</w:t>
      </w:r>
      <w:r w:rsidR="6F2293D0" w:rsidRPr="05F0AA08">
        <w:rPr>
          <w:rFonts w:ascii="Arial" w:eastAsia="Arial" w:hAnsi="Arial" w:cs="Arial"/>
          <w:sz w:val="24"/>
          <w:szCs w:val="24"/>
        </w:rPr>
        <w:t xml:space="preserve">ontrast may be administered any time between 1 and 4 hours after the final administration of </w:t>
      </w:r>
      <w:r w:rsidR="1942FC75" w:rsidRPr="05F0AA08">
        <w:rPr>
          <w:rFonts w:ascii="Arial" w:eastAsia="Arial" w:hAnsi="Arial" w:cs="Arial"/>
          <w:sz w:val="24"/>
          <w:szCs w:val="24"/>
        </w:rPr>
        <w:t xml:space="preserve">pretreatment </w:t>
      </w:r>
      <w:r w:rsidR="6F2293D0" w:rsidRPr="05F0AA08">
        <w:rPr>
          <w:rFonts w:ascii="Arial" w:eastAsia="Arial" w:hAnsi="Arial" w:cs="Arial"/>
          <w:sz w:val="24"/>
          <w:szCs w:val="24"/>
        </w:rPr>
        <w:t xml:space="preserve">medications.  If there is a delay of greater than 4 hours, the </w:t>
      </w:r>
      <w:r w:rsidR="2DC77902" w:rsidRPr="05F0AA08">
        <w:rPr>
          <w:rFonts w:ascii="Arial" w:eastAsia="Arial" w:hAnsi="Arial" w:cs="Arial"/>
          <w:sz w:val="24"/>
          <w:szCs w:val="24"/>
        </w:rPr>
        <w:t>supervising radiologist should be contacted.</w:t>
      </w:r>
    </w:p>
    <w:p w14:paraId="4BF3BF51" w14:textId="119B2346" w:rsidR="6793225E" w:rsidRDefault="6793225E" w:rsidP="6793225E">
      <w:pPr>
        <w:jc w:val="both"/>
        <w:rPr>
          <w:rFonts w:ascii="Arial" w:hAnsi="Arial" w:cs="Arial"/>
          <w:b/>
          <w:bCs/>
          <w:sz w:val="24"/>
          <w:szCs w:val="24"/>
          <w:u w:val="single"/>
        </w:rPr>
      </w:pPr>
    </w:p>
    <w:sectPr w:rsidR="6793225E" w:rsidSect="00697B88">
      <w:headerReference w:type="default" r:id="rId11"/>
      <w:footerReference w:type="defaul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92D6" w14:textId="77777777" w:rsidR="007A2510" w:rsidRDefault="007A2510">
      <w:r>
        <w:separator/>
      </w:r>
    </w:p>
  </w:endnote>
  <w:endnote w:type="continuationSeparator" w:id="0">
    <w:p w14:paraId="1D8428DF" w14:textId="77777777" w:rsidR="007A2510" w:rsidRDefault="007A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85DA" w14:textId="77777777" w:rsidR="00CD0FF3" w:rsidRDefault="00CD0FF3" w:rsidP="009123C3">
    <w:pPr>
      <w:pStyle w:val="Footer"/>
      <w:jc w:val="right"/>
      <w:rPr>
        <w:sz w:val="16"/>
        <w:szCs w:val="16"/>
      </w:rPr>
    </w:pPr>
    <w:r w:rsidRPr="009123C3">
      <w:rPr>
        <w:sz w:val="16"/>
        <w:szCs w:val="16"/>
      </w:rPr>
      <w:t xml:space="preserve">Revised </w:t>
    </w:r>
    <w:r w:rsidR="003D13F9">
      <w:rPr>
        <w:sz w:val="16"/>
        <w:szCs w:val="16"/>
      </w:rPr>
      <w:t>09</w:t>
    </w:r>
    <w:r w:rsidR="00201F81">
      <w:rPr>
        <w:sz w:val="16"/>
        <w:szCs w:val="16"/>
      </w:rPr>
      <w:t>/1</w:t>
    </w:r>
    <w:r w:rsidR="003D13F9">
      <w:rPr>
        <w:sz w:val="16"/>
        <w:szCs w:val="16"/>
      </w:rPr>
      <w:t>6</w:t>
    </w:r>
  </w:p>
  <w:p w14:paraId="3CF2D8B6" w14:textId="77777777" w:rsidR="003D13F9" w:rsidRPr="009123C3" w:rsidRDefault="003D13F9" w:rsidP="009123C3">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288A" w14:textId="77777777" w:rsidR="007A2510" w:rsidRDefault="007A2510">
      <w:r>
        <w:separator/>
      </w:r>
    </w:p>
  </w:footnote>
  <w:footnote w:type="continuationSeparator" w:id="0">
    <w:p w14:paraId="2A466879" w14:textId="77777777" w:rsidR="007A2510" w:rsidRDefault="007A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41B7" w14:textId="77777777" w:rsidR="003379B4" w:rsidRPr="00F27771" w:rsidRDefault="00CD0FF3">
    <w:pPr>
      <w:pStyle w:val="Header"/>
      <w:rPr>
        <w:sz w:val="16"/>
        <w:szCs w:val="16"/>
      </w:rPr>
    </w:pPr>
    <w:r w:rsidRPr="00F27771">
      <w:rPr>
        <w:sz w:val="16"/>
        <w:szCs w:val="16"/>
      </w:rPr>
      <w:t xml:space="preserve">                                                                                                                                                               </w:t>
    </w:r>
    <w:r>
      <w:rPr>
        <w:sz w:val="16"/>
        <w:szCs w:val="16"/>
      </w:rPr>
      <w:t xml:space="preserve">                              </w:t>
    </w:r>
    <w:r w:rsidR="00080434">
      <w:rPr>
        <w:sz w:val="16"/>
        <w:szCs w:val="16"/>
      </w:rPr>
      <w:t xml:space="preserve">     </w:t>
    </w:r>
    <w:r w:rsidR="00477124">
      <w:rPr>
        <w:sz w:val="16"/>
        <w:szCs w:val="16"/>
      </w:rPr>
      <w:t>Attachment A PC</w:t>
    </w:r>
    <w:r w:rsidR="003379B4">
      <w:rPr>
        <w:sz w:val="16"/>
        <w:szCs w:val="16"/>
      </w:rPr>
      <w:t>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044"/>
    <w:multiLevelType w:val="hybridMultilevel"/>
    <w:tmpl w:val="C1405958"/>
    <w:lvl w:ilvl="0" w:tplc="16922590">
      <w:start w:val="1"/>
      <w:numFmt w:val="decimal"/>
      <w:lvlText w:val="%1."/>
      <w:lvlJc w:val="left"/>
      <w:pPr>
        <w:ind w:left="720" w:hanging="360"/>
      </w:pPr>
    </w:lvl>
    <w:lvl w:ilvl="1" w:tplc="590C800C">
      <w:start w:val="1"/>
      <w:numFmt w:val="decimal"/>
      <w:lvlText w:val="%2."/>
      <w:lvlJc w:val="left"/>
      <w:pPr>
        <w:ind w:left="1440" w:hanging="360"/>
      </w:pPr>
    </w:lvl>
    <w:lvl w:ilvl="2" w:tplc="BBF65A96">
      <w:start w:val="1"/>
      <w:numFmt w:val="lowerRoman"/>
      <w:lvlText w:val="%3."/>
      <w:lvlJc w:val="left"/>
      <w:pPr>
        <w:ind w:left="2160" w:hanging="180"/>
      </w:pPr>
    </w:lvl>
    <w:lvl w:ilvl="3" w:tplc="A05A13CE">
      <w:start w:val="1"/>
      <w:numFmt w:val="decimal"/>
      <w:lvlText w:val="%4."/>
      <w:lvlJc w:val="left"/>
      <w:pPr>
        <w:ind w:left="2880" w:hanging="360"/>
      </w:pPr>
    </w:lvl>
    <w:lvl w:ilvl="4" w:tplc="1B32BEEA">
      <w:start w:val="1"/>
      <w:numFmt w:val="lowerLetter"/>
      <w:lvlText w:val="%5."/>
      <w:lvlJc w:val="left"/>
      <w:pPr>
        <w:ind w:left="3600" w:hanging="360"/>
      </w:pPr>
    </w:lvl>
    <w:lvl w:ilvl="5" w:tplc="C510A4FC">
      <w:start w:val="1"/>
      <w:numFmt w:val="lowerRoman"/>
      <w:lvlText w:val="%6."/>
      <w:lvlJc w:val="right"/>
      <w:pPr>
        <w:ind w:left="4320" w:hanging="180"/>
      </w:pPr>
    </w:lvl>
    <w:lvl w:ilvl="6" w:tplc="C5A006C6">
      <w:start w:val="1"/>
      <w:numFmt w:val="decimal"/>
      <w:lvlText w:val="%7."/>
      <w:lvlJc w:val="left"/>
      <w:pPr>
        <w:ind w:left="5040" w:hanging="360"/>
      </w:pPr>
    </w:lvl>
    <w:lvl w:ilvl="7" w:tplc="4CC8F5C8">
      <w:start w:val="1"/>
      <w:numFmt w:val="lowerLetter"/>
      <w:lvlText w:val="%8."/>
      <w:lvlJc w:val="left"/>
      <w:pPr>
        <w:ind w:left="5760" w:hanging="360"/>
      </w:pPr>
    </w:lvl>
    <w:lvl w:ilvl="8" w:tplc="A71419B6">
      <w:start w:val="1"/>
      <w:numFmt w:val="lowerRoman"/>
      <w:lvlText w:val="%9."/>
      <w:lvlJc w:val="right"/>
      <w:pPr>
        <w:ind w:left="6480" w:hanging="180"/>
      </w:pPr>
    </w:lvl>
  </w:abstractNum>
  <w:abstractNum w:abstractNumId="1" w15:restartNumberingAfterBreak="0">
    <w:nsid w:val="187C148F"/>
    <w:multiLevelType w:val="hybridMultilevel"/>
    <w:tmpl w:val="9242678C"/>
    <w:lvl w:ilvl="0" w:tplc="8E5C021A">
      <w:start w:val="1"/>
      <w:numFmt w:val="decimal"/>
      <w:lvlText w:val="%1."/>
      <w:lvlJc w:val="left"/>
      <w:pPr>
        <w:ind w:left="720" w:hanging="360"/>
      </w:pPr>
      <w:rPr>
        <w:rFonts w:ascii="Times New Roman" w:hAnsi="Times New Roman" w:cs="Times New Roman" w:hint="default"/>
        <w:b/>
        <w:sz w:val="22"/>
        <w:szCs w:val="22"/>
      </w:rPr>
    </w:lvl>
    <w:lvl w:ilvl="1" w:tplc="FCBE9A42">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13408"/>
    <w:multiLevelType w:val="hybridMultilevel"/>
    <w:tmpl w:val="B414F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3268B"/>
    <w:multiLevelType w:val="hybridMultilevel"/>
    <w:tmpl w:val="7FB6E5C2"/>
    <w:lvl w:ilvl="0" w:tplc="D6D07FD8">
      <w:start w:val="1"/>
      <w:numFmt w:val="decimal"/>
      <w:lvlText w:val="%1."/>
      <w:lvlJc w:val="left"/>
      <w:pPr>
        <w:ind w:left="720" w:hanging="360"/>
      </w:pPr>
    </w:lvl>
    <w:lvl w:ilvl="1" w:tplc="F4A4BB3C">
      <w:start w:val="1"/>
      <w:numFmt w:val="lowerLetter"/>
      <w:lvlText w:val="%2."/>
      <w:lvlJc w:val="left"/>
      <w:pPr>
        <w:ind w:left="1440" w:hanging="360"/>
      </w:pPr>
    </w:lvl>
    <w:lvl w:ilvl="2" w:tplc="5D6A2BC2">
      <w:start w:val="1"/>
      <w:numFmt w:val="lowerRoman"/>
      <w:lvlText w:val="%3."/>
      <w:lvlJc w:val="right"/>
      <w:pPr>
        <w:ind w:left="2160" w:hanging="180"/>
      </w:pPr>
    </w:lvl>
    <w:lvl w:ilvl="3" w:tplc="20560916">
      <w:start w:val="1"/>
      <w:numFmt w:val="decimal"/>
      <w:lvlText w:val="%4."/>
      <w:lvlJc w:val="left"/>
      <w:pPr>
        <w:ind w:left="2880" w:hanging="360"/>
      </w:pPr>
    </w:lvl>
    <w:lvl w:ilvl="4" w:tplc="FDCAB2FA">
      <w:start w:val="1"/>
      <w:numFmt w:val="lowerLetter"/>
      <w:lvlText w:val="%5."/>
      <w:lvlJc w:val="left"/>
      <w:pPr>
        <w:ind w:left="3600" w:hanging="360"/>
      </w:pPr>
    </w:lvl>
    <w:lvl w:ilvl="5" w:tplc="AF70EBB6">
      <w:start w:val="1"/>
      <w:numFmt w:val="lowerRoman"/>
      <w:lvlText w:val="%6."/>
      <w:lvlJc w:val="right"/>
      <w:pPr>
        <w:ind w:left="4320" w:hanging="180"/>
      </w:pPr>
    </w:lvl>
    <w:lvl w:ilvl="6" w:tplc="532068BC">
      <w:start w:val="1"/>
      <w:numFmt w:val="decimal"/>
      <w:lvlText w:val="%7."/>
      <w:lvlJc w:val="left"/>
      <w:pPr>
        <w:ind w:left="5040" w:hanging="360"/>
      </w:pPr>
    </w:lvl>
    <w:lvl w:ilvl="7" w:tplc="6B6203B6">
      <w:start w:val="1"/>
      <w:numFmt w:val="lowerLetter"/>
      <w:lvlText w:val="%8."/>
      <w:lvlJc w:val="left"/>
      <w:pPr>
        <w:ind w:left="5760" w:hanging="360"/>
      </w:pPr>
    </w:lvl>
    <w:lvl w:ilvl="8" w:tplc="CC161F14">
      <w:start w:val="1"/>
      <w:numFmt w:val="lowerRoman"/>
      <w:lvlText w:val="%9."/>
      <w:lvlJc w:val="right"/>
      <w:pPr>
        <w:ind w:left="6480" w:hanging="180"/>
      </w:pPr>
    </w:lvl>
  </w:abstractNum>
  <w:abstractNum w:abstractNumId="4" w15:restartNumberingAfterBreak="0">
    <w:nsid w:val="78FC1BD2"/>
    <w:multiLevelType w:val="hybridMultilevel"/>
    <w:tmpl w:val="5D5E5DA8"/>
    <w:lvl w:ilvl="0" w:tplc="904C3C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B9D9F9"/>
    <w:multiLevelType w:val="hybridMultilevel"/>
    <w:tmpl w:val="B3203F1C"/>
    <w:lvl w:ilvl="0" w:tplc="A90A5BF4">
      <w:start w:val="1"/>
      <w:numFmt w:val="decimal"/>
      <w:lvlText w:val="%1."/>
      <w:lvlJc w:val="left"/>
      <w:pPr>
        <w:ind w:left="720" w:hanging="360"/>
      </w:pPr>
    </w:lvl>
    <w:lvl w:ilvl="1" w:tplc="F280A386">
      <w:start w:val="1"/>
      <w:numFmt w:val="lowerLetter"/>
      <w:lvlText w:val="%2."/>
      <w:lvlJc w:val="left"/>
      <w:pPr>
        <w:ind w:left="1440" w:hanging="360"/>
      </w:pPr>
    </w:lvl>
    <w:lvl w:ilvl="2" w:tplc="B69C1CC4">
      <w:start w:val="1"/>
      <w:numFmt w:val="lowerRoman"/>
      <w:lvlText w:val="%3."/>
      <w:lvlJc w:val="right"/>
      <w:pPr>
        <w:ind w:left="2160" w:hanging="180"/>
      </w:pPr>
    </w:lvl>
    <w:lvl w:ilvl="3" w:tplc="152A5284">
      <w:start w:val="1"/>
      <w:numFmt w:val="decimal"/>
      <w:lvlText w:val="%4."/>
      <w:lvlJc w:val="left"/>
      <w:pPr>
        <w:ind w:left="2880" w:hanging="360"/>
      </w:pPr>
    </w:lvl>
    <w:lvl w:ilvl="4" w:tplc="EA402A24">
      <w:start w:val="1"/>
      <w:numFmt w:val="lowerLetter"/>
      <w:lvlText w:val="%5."/>
      <w:lvlJc w:val="left"/>
      <w:pPr>
        <w:ind w:left="3600" w:hanging="360"/>
      </w:pPr>
    </w:lvl>
    <w:lvl w:ilvl="5" w:tplc="FB04606A">
      <w:start w:val="1"/>
      <w:numFmt w:val="lowerRoman"/>
      <w:lvlText w:val="%6."/>
      <w:lvlJc w:val="right"/>
      <w:pPr>
        <w:ind w:left="4320" w:hanging="180"/>
      </w:pPr>
    </w:lvl>
    <w:lvl w:ilvl="6" w:tplc="38B03930">
      <w:start w:val="1"/>
      <w:numFmt w:val="decimal"/>
      <w:lvlText w:val="%7."/>
      <w:lvlJc w:val="left"/>
      <w:pPr>
        <w:ind w:left="5040" w:hanging="360"/>
      </w:pPr>
    </w:lvl>
    <w:lvl w:ilvl="7" w:tplc="5A946210">
      <w:start w:val="1"/>
      <w:numFmt w:val="lowerLetter"/>
      <w:lvlText w:val="%8."/>
      <w:lvlJc w:val="left"/>
      <w:pPr>
        <w:ind w:left="5760" w:hanging="360"/>
      </w:pPr>
    </w:lvl>
    <w:lvl w:ilvl="8" w:tplc="84287CAA">
      <w:start w:val="1"/>
      <w:numFmt w:val="lowerRoman"/>
      <w:lvlText w:val="%9."/>
      <w:lvlJc w:val="right"/>
      <w:pPr>
        <w:ind w:left="6480" w:hanging="180"/>
      </w:pPr>
    </w:lvl>
  </w:abstractNum>
  <w:num w:numId="1" w16cid:durableId="1642222881">
    <w:abstractNumId w:val="3"/>
  </w:num>
  <w:num w:numId="2" w16cid:durableId="1275863578">
    <w:abstractNumId w:val="0"/>
  </w:num>
  <w:num w:numId="3" w16cid:durableId="1329867880">
    <w:abstractNumId w:val="5"/>
  </w:num>
  <w:num w:numId="4" w16cid:durableId="1647472383">
    <w:abstractNumId w:val="2"/>
  </w:num>
  <w:num w:numId="5" w16cid:durableId="1874883522">
    <w:abstractNumId w:val="4"/>
  </w:num>
  <w:num w:numId="6" w16cid:durableId="116793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28"/>
    <w:rsid w:val="00002D2C"/>
    <w:rsid w:val="00010354"/>
    <w:rsid w:val="00010FDA"/>
    <w:rsid w:val="00014317"/>
    <w:rsid w:val="0001780B"/>
    <w:rsid w:val="0004391D"/>
    <w:rsid w:val="000715F0"/>
    <w:rsid w:val="00080434"/>
    <w:rsid w:val="00092051"/>
    <w:rsid w:val="00093179"/>
    <w:rsid w:val="000C7834"/>
    <w:rsid w:val="000D5480"/>
    <w:rsid w:val="0011119A"/>
    <w:rsid w:val="00113D91"/>
    <w:rsid w:val="0016712F"/>
    <w:rsid w:val="001704DC"/>
    <w:rsid w:val="00191F01"/>
    <w:rsid w:val="001951F7"/>
    <w:rsid w:val="00197C69"/>
    <w:rsid w:val="001B1A1C"/>
    <w:rsid w:val="001C523B"/>
    <w:rsid w:val="001D73DE"/>
    <w:rsid w:val="001E008F"/>
    <w:rsid w:val="00201DE9"/>
    <w:rsid w:val="00201F81"/>
    <w:rsid w:val="00251837"/>
    <w:rsid w:val="002573AA"/>
    <w:rsid w:val="002E6044"/>
    <w:rsid w:val="0031377C"/>
    <w:rsid w:val="003379B4"/>
    <w:rsid w:val="0036160E"/>
    <w:rsid w:val="00363515"/>
    <w:rsid w:val="00366050"/>
    <w:rsid w:val="00367F9B"/>
    <w:rsid w:val="00385846"/>
    <w:rsid w:val="003B7E1B"/>
    <w:rsid w:val="003D13F9"/>
    <w:rsid w:val="003D23EF"/>
    <w:rsid w:val="003D7A2E"/>
    <w:rsid w:val="003E3AA9"/>
    <w:rsid w:val="003F4CDB"/>
    <w:rsid w:val="0042666A"/>
    <w:rsid w:val="00427384"/>
    <w:rsid w:val="0043063D"/>
    <w:rsid w:val="00432388"/>
    <w:rsid w:val="00477124"/>
    <w:rsid w:val="004814CE"/>
    <w:rsid w:val="00483F98"/>
    <w:rsid w:val="00487EA5"/>
    <w:rsid w:val="004E6156"/>
    <w:rsid w:val="00504D4D"/>
    <w:rsid w:val="00542556"/>
    <w:rsid w:val="005520FA"/>
    <w:rsid w:val="00553BB2"/>
    <w:rsid w:val="005654BF"/>
    <w:rsid w:val="00584157"/>
    <w:rsid w:val="00592F65"/>
    <w:rsid w:val="005C0C6A"/>
    <w:rsid w:val="005D6CE2"/>
    <w:rsid w:val="005D7BF5"/>
    <w:rsid w:val="00620ADE"/>
    <w:rsid w:val="00681BB9"/>
    <w:rsid w:val="006836B5"/>
    <w:rsid w:val="00697B88"/>
    <w:rsid w:val="006A65FC"/>
    <w:rsid w:val="006B595A"/>
    <w:rsid w:val="007027B8"/>
    <w:rsid w:val="007528AA"/>
    <w:rsid w:val="00780359"/>
    <w:rsid w:val="007A2510"/>
    <w:rsid w:val="00827627"/>
    <w:rsid w:val="00856F8A"/>
    <w:rsid w:val="00871ACD"/>
    <w:rsid w:val="008771FE"/>
    <w:rsid w:val="0089219A"/>
    <w:rsid w:val="008971C7"/>
    <w:rsid w:val="008A453F"/>
    <w:rsid w:val="008B62CC"/>
    <w:rsid w:val="008E1E4E"/>
    <w:rsid w:val="008F2328"/>
    <w:rsid w:val="008F5F4E"/>
    <w:rsid w:val="009123C3"/>
    <w:rsid w:val="009274B3"/>
    <w:rsid w:val="00955031"/>
    <w:rsid w:val="0097511F"/>
    <w:rsid w:val="009A3030"/>
    <w:rsid w:val="00A1328E"/>
    <w:rsid w:val="00A44170"/>
    <w:rsid w:val="00A52515"/>
    <w:rsid w:val="00AC7B9A"/>
    <w:rsid w:val="00AF1B4D"/>
    <w:rsid w:val="00B06506"/>
    <w:rsid w:val="00B42BE7"/>
    <w:rsid w:val="00B45119"/>
    <w:rsid w:val="00B544E5"/>
    <w:rsid w:val="00B654A0"/>
    <w:rsid w:val="00B768A6"/>
    <w:rsid w:val="00B81507"/>
    <w:rsid w:val="00B93143"/>
    <w:rsid w:val="00BD2866"/>
    <w:rsid w:val="00C02261"/>
    <w:rsid w:val="00C03498"/>
    <w:rsid w:val="00C07469"/>
    <w:rsid w:val="00C37F65"/>
    <w:rsid w:val="00C430B4"/>
    <w:rsid w:val="00C57E9C"/>
    <w:rsid w:val="00C6157F"/>
    <w:rsid w:val="00C63D0C"/>
    <w:rsid w:val="00C65719"/>
    <w:rsid w:val="00C70B7B"/>
    <w:rsid w:val="00C80491"/>
    <w:rsid w:val="00CD0FF3"/>
    <w:rsid w:val="00D018E9"/>
    <w:rsid w:val="00D10945"/>
    <w:rsid w:val="00D361B6"/>
    <w:rsid w:val="00D73C03"/>
    <w:rsid w:val="00D76422"/>
    <w:rsid w:val="00DB15FC"/>
    <w:rsid w:val="00DC14FD"/>
    <w:rsid w:val="00DC33F7"/>
    <w:rsid w:val="00E54FC8"/>
    <w:rsid w:val="00E87ED3"/>
    <w:rsid w:val="00EB5E7F"/>
    <w:rsid w:val="00EC2ACD"/>
    <w:rsid w:val="00EC3D0C"/>
    <w:rsid w:val="00EC643F"/>
    <w:rsid w:val="00ED55B5"/>
    <w:rsid w:val="00EF2166"/>
    <w:rsid w:val="00EF638F"/>
    <w:rsid w:val="00F1608B"/>
    <w:rsid w:val="00F23692"/>
    <w:rsid w:val="00F27771"/>
    <w:rsid w:val="00F60367"/>
    <w:rsid w:val="00FA697E"/>
    <w:rsid w:val="00FC7350"/>
    <w:rsid w:val="00FC73C1"/>
    <w:rsid w:val="01FA1647"/>
    <w:rsid w:val="04F2BDCC"/>
    <w:rsid w:val="05F0AA08"/>
    <w:rsid w:val="07C1AB95"/>
    <w:rsid w:val="09DAB478"/>
    <w:rsid w:val="139ACF9B"/>
    <w:rsid w:val="15727A75"/>
    <w:rsid w:val="1609617B"/>
    <w:rsid w:val="1942FC75"/>
    <w:rsid w:val="1D546178"/>
    <w:rsid w:val="219444B4"/>
    <w:rsid w:val="2789DAA1"/>
    <w:rsid w:val="2D783027"/>
    <w:rsid w:val="2DC77902"/>
    <w:rsid w:val="2E08799A"/>
    <w:rsid w:val="309B91D8"/>
    <w:rsid w:val="3C04B63C"/>
    <w:rsid w:val="430E2E95"/>
    <w:rsid w:val="440D0A99"/>
    <w:rsid w:val="440FC821"/>
    <w:rsid w:val="4A65E148"/>
    <w:rsid w:val="4C01B1A9"/>
    <w:rsid w:val="4C7F927D"/>
    <w:rsid w:val="5441DE8D"/>
    <w:rsid w:val="588D452D"/>
    <w:rsid w:val="5E8E54D9"/>
    <w:rsid w:val="5F185B0B"/>
    <w:rsid w:val="601991B5"/>
    <w:rsid w:val="624DED24"/>
    <w:rsid w:val="6699524F"/>
    <w:rsid w:val="6793225E"/>
    <w:rsid w:val="6B6CC372"/>
    <w:rsid w:val="6F2293D0"/>
    <w:rsid w:val="73E12A47"/>
    <w:rsid w:val="76B7639F"/>
    <w:rsid w:val="783F5FD1"/>
    <w:rsid w:val="7EC275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4DFBE"/>
  <w15:chartTrackingRefBased/>
  <w15:docId w15:val="{FF20CEFC-9BD5-48AA-AD29-00EBC3CD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712F"/>
    <w:rPr>
      <w:rFonts w:ascii="Tahoma" w:hAnsi="Tahoma" w:cs="Tahoma"/>
      <w:sz w:val="16"/>
      <w:szCs w:val="16"/>
    </w:rPr>
  </w:style>
  <w:style w:type="paragraph" w:styleId="Header">
    <w:name w:val="header"/>
    <w:basedOn w:val="Normal"/>
    <w:rsid w:val="00F27771"/>
    <w:pPr>
      <w:tabs>
        <w:tab w:val="center" w:pos="4320"/>
        <w:tab w:val="right" w:pos="8640"/>
      </w:tabs>
    </w:pPr>
  </w:style>
  <w:style w:type="paragraph" w:styleId="Footer">
    <w:name w:val="footer"/>
    <w:basedOn w:val="Normal"/>
    <w:rsid w:val="00F27771"/>
    <w:pPr>
      <w:tabs>
        <w:tab w:val="center" w:pos="4320"/>
        <w:tab w:val="right" w:pos="8640"/>
      </w:tabs>
    </w:pPr>
  </w:style>
  <w:style w:type="paragraph" w:styleId="ListParagraph">
    <w:name w:val="List Paragraph"/>
    <w:basedOn w:val="Normal"/>
    <w:uiPriority w:val="34"/>
    <w:qFormat/>
    <w:rsid w:val="00EC3D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7F920B76175F40B9BD4CC6E662D69F" ma:contentTypeVersion="10" ma:contentTypeDescription="Create a new document." ma:contentTypeScope="" ma:versionID="da0b6fee7feb26de7c43ebedbd56f40b">
  <xsd:schema xmlns:xsd="http://www.w3.org/2001/XMLSchema" xmlns:xs="http://www.w3.org/2001/XMLSchema" xmlns:p="http://schemas.microsoft.com/office/2006/metadata/properties" xmlns:ns2="33384cb2-6161-4753-98b3-70cf05f44ab9" xmlns:ns3="e1add8fe-d124-4610-8a38-9bce8ecfe339" targetNamespace="http://schemas.microsoft.com/office/2006/metadata/properties" ma:root="true" ma:fieldsID="f3e98facdbf9968eb9f6446c5f28ce86" ns2:_="" ns3:_="">
    <xsd:import namespace="33384cb2-6161-4753-98b3-70cf05f44ab9"/>
    <xsd:import namespace="e1add8fe-d124-4610-8a38-9bce8ecfe3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andtim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84cb2-6161-4753-98b3-70cf05f44a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dd8fe-d124-4610-8a38-9bce8ecfe33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andtime" ma:index="14" nillable="true" ma:displayName="Date and time" ma:description="Date and time" ma:format="DateTime" ma:internalName="Dateandtim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3384cb2-6161-4753-98b3-70cf05f44ab9">
      <UserInfo>
        <DisplayName>Allen, Lisa</DisplayName>
        <AccountId>885</AccountId>
        <AccountType/>
      </UserInfo>
      <UserInfo>
        <DisplayName>Helvey, Jay T</DisplayName>
        <AccountId>14</AccountId>
        <AccountType/>
      </UserInfo>
      <UserInfo>
        <DisplayName>Wilson, Kimberly A</DisplayName>
        <AccountId>4348</AccountId>
        <AccountType/>
      </UserInfo>
    </SharedWithUsers>
    <Dateandtime xmlns="e1add8fe-d124-4610-8a38-9bce8ecfe339" xsi:nil="true"/>
  </documentManagement>
</p:properties>
</file>

<file path=customXml/itemProps1.xml><?xml version="1.0" encoding="utf-8"?>
<ds:datastoreItem xmlns:ds="http://schemas.openxmlformats.org/officeDocument/2006/customXml" ds:itemID="{2EF61402-5777-4CF3-9A0F-D903A8B42DF8}">
  <ds:schemaRefs>
    <ds:schemaRef ds:uri="http://schemas.microsoft.com/sharepoint/v3/contenttype/forms"/>
  </ds:schemaRefs>
</ds:datastoreItem>
</file>

<file path=customXml/itemProps2.xml><?xml version="1.0" encoding="utf-8"?>
<ds:datastoreItem xmlns:ds="http://schemas.openxmlformats.org/officeDocument/2006/customXml" ds:itemID="{5E5A36E6-E7BC-4612-B712-CFACA4A65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84cb2-6161-4753-98b3-70cf05f44ab9"/>
    <ds:schemaRef ds:uri="e1add8fe-d124-4610-8a38-9bce8ecfe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451C4-AAFA-468E-8D15-8CF7C1D948E7}">
  <ds:schemaRefs>
    <ds:schemaRef ds:uri="http://schemas.microsoft.com/office/2006/metadata/properties"/>
    <ds:schemaRef ds:uri="http://schemas.microsoft.com/office/infopath/2007/PartnerControls"/>
    <ds:schemaRef ds:uri="33384cb2-6161-4753-98b3-70cf05f44ab9"/>
    <ds:schemaRef ds:uri="e1add8fe-d124-4610-8a38-9bce8ecfe3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4978</Characters>
  <Application>Microsoft Office Word</Application>
  <DocSecurity>0</DocSecurity>
  <Lines>41</Lines>
  <Paragraphs>11</Paragraphs>
  <ScaleCrop>false</ScaleCrop>
  <Company>NHS</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dc:creator>
  <cp:keywords/>
  <cp:lastModifiedBy>Hansen, Neil</cp:lastModifiedBy>
  <cp:revision>2</cp:revision>
  <cp:lastPrinted>2016-10-03T11:08:00Z</cp:lastPrinted>
  <dcterms:created xsi:type="dcterms:W3CDTF">2023-10-12T14:58:00Z</dcterms:created>
  <dcterms:modified xsi:type="dcterms:W3CDTF">2023-10-12T14:58:00Z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0x010100DA7F920B76175F40B9BD4CC6E662D69F</vt:lpwstr>
  </property>
  <property fmtid="{D5CDD505-2E9C-101B-9397-08002B2CF9AE}" pid="3" name="AuthorIds_UIVersion_1024">
    <vt:lpwstr>503,170</vt:lpwstr>
  </property>
  <property fmtid="{D5CDD505-2E9C-101B-9397-08002B2CF9AE}" pid="4" name="AuthorIds_UIVersion_2048">
    <vt:lpwstr>18</vt:lpwstr>
  </property>
</Properties>
</file>